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2A7E9" w14:textId="77777777" w:rsidR="002009BB" w:rsidRDefault="002009BB" w:rsidP="007B3752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bidi="en-US"/>
        </w:rPr>
      </w:pPr>
    </w:p>
    <w:p w14:paraId="62231CB4" w14:textId="77777777" w:rsidR="002E4963" w:rsidRPr="00F50102" w:rsidRDefault="002E4963" w:rsidP="007B3752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bidi="en-US"/>
        </w:rPr>
      </w:pPr>
      <w:r w:rsidRPr="00F50102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bidi="en-US"/>
        </w:rPr>
        <w:t>KRITÉRIÁ PRE VÝBER PROJEKTOV - HODNOTIACE KRITÉRIÁ</w:t>
      </w:r>
    </w:p>
    <w:p w14:paraId="781113E8" w14:textId="25D58776" w:rsidR="002E4963" w:rsidRPr="0087188A" w:rsidRDefault="002E4963" w:rsidP="002E4963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</w:pPr>
      <w:r w:rsidRPr="0087188A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>pre hodnotenie žiadostí o NFP v rámci</w:t>
      </w:r>
    </w:p>
    <w:p w14:paraId="4235A869" w14:textId="77777777" w:rsidR="002E4963" w:rsidRPr="00EB225B" w:rsidRDefault="002E4963" w:rsidP="002E4963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</w:pPr>
      <w:r w:rsidRPr="00EB225B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>Integrovaného regionálneho operačného programu</w:t>
      </w:r>
    </w:p>
    <w:p w14:paraId="1F8AAB2C" w14:textId="77777777" w:rsidR="002E4963" w:rsidRPr="00755265" w:rsidRDefault="002E4963" w:rsidP="002E4963">
      <w:pPr>
        <w:spacing w:after="130" w:line="240" w:lineRule="auto"/>
        <w:ind w:left="1925" w:right="1640"/>
        <w:jc w:val="center"/>
        <w:rPr>
          <w:rFonts w:ascii="Arial" w:eastAsia="Times New Roman" w:hAnsi="Arial" w:cs="Arial"/>
          <w:b/>
          <w:color w:val="000000" w:themeColor="text1"/>
          <w:sz w:val="24"/>
          <w:szCs w:val="19"/>
        </w:rPr>
      </w:pPr>
      <w:r w:rsidRPr="00755265">
        <w:rPr>
          <w:rFonts w:ascii="Arial" w:eastAsia="Times New Roman" w:hAnsi="Arial" w:cs="Arial"/>
          <w:b/>
          <w:color w:val="000000" w:themeColor="text1"/>
          <w:sz w:val="24"/>
          <w:szCs w:val="19"/>
        </w:rPr>
        <w:t>prioritná os 4</w:t>
      </w:r>
    </w:p>
    <w:p w14:paraId="4C7C3FE5" w14:textId="7FC1337A" w:rsidR="002E4963" w:rsidRPr="003F57FB" w:rsidRDefault="00BF087C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24"/>
          <w:szCs w:val="19"/>
        </w:rPr>
      </w:pPr>
      <w:r w:rsidRPr="003F57FB">
        <w:rPr>
          <w:rFonts w:ascii="Arial" w:hAnsi="Arial" w:cs="Arial"/>
          <w:b/>
          <w:color w:val="000000" w:themeColor="text1"/>
          <w:sz w:val="24"/>
          <w:szCs w:val="19"/>
        </w:rPr>
        <w:t>Š</w:t>
      </w:r>
      <w:r w:rsidR="002E4963" w:rsidRPr="003F57FB">
        <w:rPr>
          <w:rFonts w:ascii="Arial" w:hAnsi="Arial" w:cs="Arial"/>
          <w:b/>
          <w:color w:val="000000" w:themeColor="text1"/>
          <w:sz w:val="24"/>
          <w:szCs w:val="19"/>
        </w:rPr>
        <w:t>pecifický cieľ 4.2.1 – Zvýšenie podielu obyvateľstva so zlepšeným zásobovaním pitnou vodou a odvádzanie a čistenie odpadových vôd verejnou kanalizáciou bez negatívnych dopadov na životné prostredie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74"/>
        <w:gridCol w:w="2295"/>
        <w:gridCol w:w="4803"/>
        <w:gridCol w:w="1355"/>
        <w:gridCol w:w="1565"/>
        <w:gridCol w:w="4922"/>
      </w:tblGrid>
      <w:tr w:rsidR="00677DBF" w:rsidRPr="0017587A" w14:paraId="3A01BDF7" w14:textId="77777777" w:rsidTr="006112F9">
        <w:trPr>
          <w:trHeight w:val="397"/>
          <w:tblHeader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DB3BE19" w14:textId="77777777" w:rsidR="002E4963" w:rsidRPr="0017587A" w:rsidRDefault="002E4963" w:rsidP="00C23619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907CE8" w14:textId="77777777" w:rsidR="002E4963" w:rsidRPr="0017587A" w:rsidRDefault="002E4963" w:rsidP="00C23619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914901F" w14:textId="77777777" w:rsidR="002E4963" w:rsidRPr="0017587A" w:rsidRDefault="002E4963" w:rsidP="00C23619">
            <w:pPr>
              <w:widowControl w:val="0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4E9C5D0" w14:textId="77777777" w:rsidR="002E4963" w:rsidRPr="0017587A" w:rsidRDefault="002E4963" w:rsidP="00C23619">
            <w:pPr>
              <w:widowControl w:val="0"/>
              <w:ind w:left="10" w:hanging="3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567A27" w14:textId="5D2AD299" w:rsidR="002E4963" w:rsidRPr="0017587A" w:rsidRDefault="002E4963" w:rsidP="00C23619">
            <w:pPr>
              <w:widowControl w:val="0"/>
              <w:ind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C23619"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B990FD8" w14:textId="77777777" w:rsidR="002E4963" w:rsidRPr="0017587A" w:rsidRDefault="002E4963" w:rsidP="00C23619">
            <w:pPr>
              <w:widowControl w:val="0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677DBF" w:rsidRPr="0017587A" w14:paraId="61624EC8" w14:textId="77777777" w:rsidTr="006112F9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E1872B" w14:textId="77777777" w:rsidR="002E4963" w:rsidRPr="0017587A" w:rsidRDefault="002E4963" w:rsidP="00C23619">
            <w:pPr>
              <w:widowControl w:val="0"/>
              <w:spacing w:line="269" w:lineRule="exact"/>
              <w:ind w:right="2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4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0B5FAD" w14:textId="1CE225E8" w:rsidR="002E4963" w:rsidRPr="0017587A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</w:t>
            </w:r>
            <w:r w:rsidR="00E61FA6" w:rsidRPr="0017587A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sledkom IROP a PO 4</w:t>
            </w:r>
          </w:p>
        </w:tc>
      </w:tr>
      <w:tr w:rsidR="00677DBF" w:rsidRPr="0017587A" w14:paraId="214AE72F" w14:textId="77777777" w:rsidTr="006112F9">
        <w:trPr>
          <w:trHeight w:val="78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2DD1" w14:textId="77777777" w:rsidR="002E4963" w:rsidRPr="0017587A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78A1" w14:textId="77777777" w:rsidR="002E4963" w:rsidRPr="0017587A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79D3" w14:textId="77777777" w:rsidR="002E4963" w:rsidRPr="0017587A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programovou stratégiou IROP, prioritnou osou č. 4 – Zlepšenie kvality života v regiónoch s dôrazom na životné prostredie, špecifickým cieľom 4.2.1 - </w:t>
            </w:r>
            <w:r w:rsidRPr="0017587A">
              <w:rPr>
                <w:rFonts w:ascii="Arial" w:hAnsi="Arial" w:cs="Arial"/>
                <w:iCs/>
                <w:color w:val="000000" w:themeColor="text1"/>
                <w:sz w:val="19"/>
                <w:szCs w:val="19"/>
              </w:rPr>
              <w:t>Zvýšenie podielu obyvateľstva so zlepšeným zásobovaním pitnou vodou a odvádzanie a čistenie odpadových vôd verejnou kanalizáciou bez negatívnych dopadov na životné prostredie</w:t>
            </w: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, t.j. súlad s:</w:t>
            </w:r>
          </w:p>
          <w:p w14:paraId="7DF17C79" w14:textId="77777777" w:rsidR="002E4963" w:rsidRPr="0017587A" w:rsidRDefault="002E4963" w:rsidP="00C23619">
            <w:pPr>
              <w:numPr>
                <w:ilvl w:val="0"/>
                <w:numId w:val="21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17587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očakávanými výsledkami;</w:t>
            </w:r>
          </w:p>
          <w:p w14:paraId="34413295" w14:textId="77777777" w:rsidR="002E4963" w:rsidRPr="0017587A" w:rsidRDefault="002E4963" w:rsidP="00C23619">
            <w:pPr>
              <w:numPr>
                <w:ilvl w:val="0"/>
                <w:numId w:val="21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17587A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definovanými oprávnenými aktivitami.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4516" w14:textId="73F9C8D2" w:rsidR="002E4963" w:rsidRPr="0017587A" w:rsidRDefault="00FC0A7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E4963"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75C" w14:textId="77777777" w:rsidR="002E4963" w:rsidRPr="0017587A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  <w:p w14:paraId="5E717A25" w14:textId="77777777" w:rsidR="002E4963" w:rsidRPr="0017587A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C059" w14:textId="77777777" w:rsidR="002E4963" w:rsidRPr="0017587A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677DBF" w:rsidRPr="0017587A" w14:paraId="2993A265" w14:textId="77777777" w:rsidTr="006112F9">
        <w:trPr>
          <w:trHeight w:val="1097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A92D" w14:textId="77777777" w:rsidR="002E4963" w:rsidRPr="0017587A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F88B" w14:textId="77777777" w:rsidR="002E4963" w:rsidRPr="0017587A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B422" w14:textId="77777777" w:rsidR="002E4963" w:rsidRPr="0017587A" w:rsidRDefault="002E4963" w:rsidP="00C23619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2258" w14:textId="77777777" w:rsidR="002E4963" w:rsidRPr="0017587A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40F8" w14:textId="77777777" w:rsidR="002E4963" w:rsidRPr="0017587A" w:rsidRDefault="002E4963" w:rsidP="006112F9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3582" w14:textId="77777777" w:rsidR="002E4963" w:rsidRPr="0017587A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677DBF" w:rsidRPr="0017587A" w14:paraId="4220912B" w14:textId="77777777" w:rsidTr="006112F9">
        <w:trPr>
          <w:trHeight w:val="36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8EB8" w14:textId="4F648E48" w:rsidR="00426285" w:rsidRPr="0017587A" w:rsidRDefault="003176F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EE3A" w14:textId="0E39E318" w:rsidR="00426285" w:rsidRPr="0017587A" w:rsidRDefault="00426285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088D" w14:textId="1F6F110E" w:rsidR="00426285" w:rsidRPr="0017587A" w:rsidRDefault="00426285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EF20" w14:textId="3D2E2486" w:rsidR="00426285" w:rsidRPr="0017587A" w:rsidRDefault="00FC0A7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426285"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3CD5" w14:textId="3AEAEF0E" w:rsidR="00426285" w:rsidRPr="0017587A" w:rsidRDefault="00426285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9B8F" w14:textId="2B1D01AC" w:rsidR="00426285" w:rsidRPr="0017587A" w:rsidRDefault="00426285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 (ak relevantné).</w:t>
            </w:r>
          </w:p>
        </w:tc>
      </w:tr>
      <w:tr w:rsidR="00677DBF" w:rsidRPr="0017587A" w14:paraId="0FC7CB2B" w14:textId="77777777" w:rsidTr="006112F9">
        <w:trPr>
          <w:trHeight w:val="39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FEC0" w14:textId="77777777" w:rsidR="00384EE4" w:rsidRPr="0017587A" w:rsidRDefault="00384EE4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0DAC" w14:textId="77777777" w:rsidR="00384EE4" w:rsidRPr="0017587A" w:rsidRDefault="00384EE4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7E7C" w14:textId="77777777" w:rsidR="00384EE4" w:rsidRPr="0017587A" w:rsidRDefault="00384EE4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56C0" w14:textId="77777777" w:rsidR="00384EE4" w:rsidRPr="0017587A" w:rsidRDefault="00384EE4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FFAE" w14:textId="328D170E" w:rsidR="00384EE4" w:rsidRPr="0017587A" w:rsidRDefault="00384EE4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E0E0" w14:textId="77777777" w:rsidR="00384EE4" w:rsidRPr="0017587A" w:rsidRDefault="00384EE4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14:paraId="36C3C776" w14:textId="5AF4CC43" w:rsidR="00384EE4" w:rsidRPr="0017587A" w:rsidRDefault="00384EE4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 (ak relevantné).</w:t>
            </w:r>
          </w:p>
        </w:tc>
      </w:tr>
      <w:tr w:rsidR="00677DBF" w:rsidRPr="0017587A" w14:paraId="40CF3C64" w14:textId="77777777" w:rsidTr="006112F9">
        <w:trPr>
          <w:trHeight w:val="178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E72A" w14:textId="77777777" w:rsidR="00384EE4" w:rsidRPr="0017587A" w:rsidRDefault="00384EE4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3F74" w14:textId="77777777" w:rsidR="00384EE4" w:rsidRPr="0017587A" w:rsidRDefault="00384EE4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0F18" w14:textId="77777777" w:rsidR="00384EE4" w:rsidRPr="0017587A" w:rsidRDefault="00384EE4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F046" w14:textId="77777777" w:rsidR="00384EE4" w:rsidRPr="0017587A" w:rsidRDefault="00384EE4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7E21" w14:textId="1C398E97" w:rsidR="00384EE4" w:rsidRPr="0017587A" w:rsidRDefault="00384EE4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8383" w14:textId="0BAC94E6" w:rsidR="00384EE4" w:rsidRPr="0017587A" w:rsidRDefault="0079750A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relevantné.</w:t>
            </w:r>
          </w:p>
        </w:tc>
      </w:tr>
      <w:tr w:rsidR="00677DBF" w:rsidRPr="0017587A" w14:paraId="38568763" w14:textId="77777777" w:rsidTr="006112F9">
        <w:trPr>
          <w:trHeight w:val="82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8F48" w14:textId="785D6D79" w:rsidR="002E4963" w:rsidRPr="0017587A" w:rsidRDefault="003176F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BDE2" w14:textId="77777777" w:rsidR="002E4963" w:rsidRPr="0017587A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Regionálnou integrovanou územnou stratégiou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6330" w14:textId="77777777" w:rsidR="002E4963" w:rsidRPr="0017587A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príslušnou </w:t>
            </w: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14:paraId="31B00B58" w14:textId="77777777" w:rsidR="002E4963" w:rsidRPr="0017587A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FFD1" w14:textId="4EF19D39" w:rsidR="002E4963" w:rsidRPr="0017587A" w:rsidRDefault="00FC0A7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E4963"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CE63" w14:textId="77777777" w:rsidR="002E4963" w:rsidRPr="0017587A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A786" w14:textId="77777777" w:rsidR="002E4963" w:rsidRPr="0017587A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 Regionálnou integrovanou územnou stratégiou/Integrovanou územnou stratégiou UMR.</w:t>
            </w:r>
          </w:p>
        </w:tc>
      </w:tr>
      <w:tr w:rsidR="00677DBF" w:rsidRPr="0017587A" w14:paraId="4D1958ED" w14:textId="77777777" w:rsidTr="006112F9">
        <w:trPr>
          <w:trHeight w:val="717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B448" w14:textId="77777777" w:rsidR="002E4963" w:rsidRPr="0017587A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2DC2" w14:textId="77777777" w:rsidR="002E4963" w:rsidRPr="0017587A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5221" w14:textId="77777777" w:rsidR="002E4963" w:rsidRPr="0017587A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8FFC" w14:textId="77777777" w:rsidR="002E4963" w:rsidRPr="0017587A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81C6" w14:textId="77777777" w:rsidR="002E4963" w:rsidRPr="0017587A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70DA" w14:textId="77777777" w:rsidR="002E4963" w:rsidRPr="0017587A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 Regionálnou integrovanou územnou stratégiou/Integrovanou územnou stratégiou UMR.</w:t>
            </w:r>
          </w:p>
        </w:tc>
      </w:tr>
      <w:tr w:rsidR="00677DBF" w:rsidRPr="00051F94" w14:paraId="62B70A17" w14:textId="77777777" w:rsidTr="006112F9">
        <w:trPr>
          <w:trHeight w:val="69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4E24" w14:textId="5EE66C3C" w:rsidR="002E4963" w:rsidRPr="0017587A" w:rsidRDefault="003176F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B750" w14:textId="10E7B0C4" w:rsidR="002E4963" w:rsidRPr="00051F94" w:rsidRDefault="002E4963" w:rsidP="002965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Plánom rozvoja verejných vodovodov a verejných kanalizácií</w:t>
            </w:r>
            <w:r w:rsidR="00C62BEE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</w:t>
            </w:r>
            <w:r w:rsidR="00C62BEE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príslušným Plánom </w:t>
            </w:r>
            <w:r w:rsidR="00C62BEE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vodohospodárskeho manažmentu povodia</w:t>
            </w:r>
            <w:r w:rsidRPr="001758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31AF" w14:textId="77777777" w:rsidR="002E4963" w:rsidRPr="00051F94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Posudzuje sa sú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lad projektu s Plánom rozvoja verejných vodovodov a verejných kanalizácií pre územie SR a príslušnými krajskými plánmi rozvoja verejných vodovodov a verejných kanalizácií.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14:paraId="4CF917D1" w14:textId="0B138D23" w:rsidR="00296519" w:rsidRPr="00051F94" w:rsidRDefault="00296519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Taktiež sa posudzuje súlad s príslušným Plánom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vodohospodárskeho manažmentu povodia.</w:t>
            </w:r>
          </w:p>
          <w:p w14:paraId="216AD434" w14:textId="77777777" w:rsidR="002E4963" w:rsidRPr="00051F94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8943" w14:textId="1C7C5B22" w:rsidR="002E4963" w:rsidRPr="00051F94" w:rsidRDefault="00FC0A7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</w:t>
            </w:r>
            <w:r w:rsidR="002E4963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95EC" w14:textId="77777777" w:rsidR="002E4963" w:rsidRPr="00051F94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5C9E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v súlade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s príslušnou dokumentáciou.</w:t>
            </w:r>
          </w:p>
        </w:tc>
      </w:tr>
      <w:tr w:rsidR="00677DBF" w:rsidRPr="00051F94" w14:paraId="2AC493EC" w14:textId="77777777" w:rsidTr="006112F9">
        <w:trPr>
          <w:trHeight w:val="553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F564" w14:textId="77777777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96B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31A2" w14:textId="77777777" w:rsidR="002E4963" w:rsidRPr="00051F94" w:rsidRDefault="002E4963" w:rsidP="00C23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061D" w14:textId="77777777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86E4" w14:textId="77777777" w:rsidR="002E4963" w:rsidRPr="00051F94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9227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v súlade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s príslušnou dokumentáciou.</w:t>
            </w:r>
          </w:p>
        </w:tc>
      </w:tr>
      <w:tr w:rsidR="00677DBF" w:rsidRPr="00051F94" w14:paraId="7AD95EB2" w14:textId="77777777" w:rsidTr="006112F9">
        <w:trPr>
          <w:trHeight w:val="669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8F97" w14:textId="65433EC6" w:rsidR="002E4963" w:rsidRPr="00051F94" w:rsidRDefault="003176F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1.5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6FF2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výstavby kanalizačných sietí a budovania a rekonštrukcie ČOV s podmienkami IROP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5376" w14:textId="77777777" w:rsidR="002E4963" w:rsidRPr="00051F94" w:rsidRDefault="002E4963" w:rsidP="00C236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splnenie podmienky oprávnenosti projektu, t.j. budovanie verejných kanalizácií a budovanie a rekonštrukcia  čistiarní odpadových vôd budú podporené v aglomeráciách do 2000 EO, a to v obciach od 1000 do 2000 obyvateľov s výnimkou obcí začlenených do aglomerácií do 2000 EO s vybudovanou stokovou sieťou min. na 80 % celej predmetnej aglomerácie alebo do  aglomerácií do 2 000 EO, ktoré zasahujú do chránených vodohospodárskych oblastí, v ktorých sú veľkokapacitné zdroje podzemných vôd, kde nebol identifikovaný dobrý stav vôd alebo bol identifikovaný vodný útvar ako rizikový.</w:t>
            </w:r>
          </w:p>
          <w:p w14:paraId="4825805A" w14:textId="77777777" w:rsidR="002E4963" w:rsidRPr="00051F94" w:rsidRDefault="002E4963" w:rsidP="00C236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  <w:p w14:paraId="33DB3650" w14:textId="77777777" w:rsidR="00E44A2F" w:rsidRPr="00051F94" w:rsidRDefault="00E44A2F" w:rsidP="00C236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61B9D628" w14:textId="653D17EB" w:rsidR="002E4963" w:rsidRPr="00051F94" w:rsidRDefault="002E4963" w:rsidP="001700F8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Aplikuje sa na aktivity budovani</w:t>
            </w:r>
            <w:r w:rsidR="001700F8"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</w:t>
            </w: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verejných kanalizácií a budovani</w:t>
            </w:r>
            <w:r w:rsidR="001700F8"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</w:t>
            </w: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a rekonštrukcia  čistiarní odpadových vôd.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B817" w14:textId="262D6D79" w:rsidR="002E4963" w:rsidRPr="00051F94" w:rsidRDefault="00FC0A7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E4963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11FC" w14:textId="77777777" w:rsidR="002E4963" w:rsidRPr="00051F94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E344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spĺňa uvedenú podmienku.</w:t>
            </w:r>
          </w:p>
        </w:tc>
      </w:tr>
      <w:tr w:rsidR="00677DBF" w:rsidRPr="00051F94" w14:paraId="534EEBAC" w14:textId="77777777" w:rsidTr="006112F9">
        <w:trPr>
          <w:trHeight w:val="56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DF4F" w14:textId="7BBF5AAC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8AED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8CE6" w14:textId="77777777" w:rsidR="002E4963" w:rsidRPr="00051F94" w:rsidRDefault="002E4963" w:rsidP="00C236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4346" w14:textId="77777777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A7AD" w14:textId="77777777" w:rsidR="002E4963" w:rsidRPr="00051F94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6A1F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nespĺňa uvedenú podmienku.</w:t>
            </w:r>
          </w:p>
        </w:tc>
      </w:tr>
      <w:tr w:rsidR="00677DBF" w:rsidRPr="00051F94" w14:paraId="6C3F1A9B" w14:textId="77777777" w:rsidTr="006112F9">
        <w:trPr>
          <w:trHeight w:val="51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F91B" w14:textId="77777777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4F8F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F71E" w14:textId="77777777" w:rsidR="002E4963" w:rsidRPr="00051F94" w:rsidRDefault="002E4963" w:rsidP="00C236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0F65" w14:textId="77777777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52D4" w14:textId="77777777" w:rsidR="002E4963" w:rsidRPr="00051F94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979C" w14:textId="326611E3" w:rsidR="002E4963" w:rsidRPr="00051F94" w:rsidRDefault="009020AF" w:rsidP="001700F8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Aplikuje sa na aktivity budovani</w:t>
            </w:r>
            <w:r w:rsidR="001700F8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a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verejných kanalizácií a budovani</w:t>
            </w:r>
            <w:r w:rsidR="001700F8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a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 rekonštrukci</w:t>
            </w:r>
            <w:r w:rsidR="001700F8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e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  čistiarní odpadových vôd.</w:t>
            </w:r>
          </w:p>
        </w:tc>
      </w:tr>
      <w:tr w:rsidR="00677DBF" w:rsidRPr="00051F94" w14:paraId="0DC4F7C5" w14:textId="77777777" w:rsidTr="006112F9">
        <w:trPr>
          <w:trHeight w:val="166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8B78" w14:textId="326230F0" w:rsidR="002E4963" w:rsidRPr="00051F94" w:rsidRDefault="003176F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4872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budovania nových vodárenských zdrojov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 podmienkami IROP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0CAF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splnenie podmienky oprávnenosti realizácie projektu, t.j.:</w:t>
            </w:r>
          </w:p>
          <w:p w14:paraId="3AA29C85" w14:textId="339B3831" w:rsidR="002E4963" w:rsidRPr="00051F94" w:rsidRDefault="002E4963" w:rsidP="00C23619">
            <w:pPr>
              <w:numPr>
                <w:ilvl w:val="0"/>
                <w:numId w:val="22"/>
              </w:numPr>
              <w:contextualSpacing/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>r</w:t>
            </w:r>
            <w:r w:rsidRPr="00051F94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  <w:lang w:bidi="en-US"/>
              </w:rPr>
              <w:t>ealizácia projektov budovania nových vodárenských zdrojov je oprávnená v prípade, ak nie je technicky a/alebo ekonomicky efektívne zásobovať obyvateľov obce pitnou vodou z existujúcich vodárenských sústav v ich preukázanom bilančnom dosahu. Projekty výstavby nových vodárenských zdrojov budú realizované v útvaroch podzemných vôd, pričom realizácia oprávnených aktivít nemôže viesť k zhoršeniu kvantitatívneho</w:t>
            </w:r>
            <w:r w:rsidR="00C63E9F" w:rsidRPr="00051F94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  <w:lang w:bidi="en-US"/>
              </w:rPr>
              <w:t xml:space="preserve"> </w:t>
            </w:r>
            <w:r w:rsidR="00530BAE" w:rsidRPr="00051F94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  <w:lang w:bidi="en-US"/>
              </w:rPr>
              <w:t xml:space="preserve">a kvalitatívneho </w:t>
            </w:r>
            <w:r w:rsidRPr="00051F94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  <w:lang w:bidi="en-US"/>
              </w:rPr>
              <w:t xml:space="preserve">stavu útvaru podzemnej vody. </w:t>
            </w:r>
          </w:p>
          <w:p w14:paraId="0B5B7967" w14:textId="77777777" w:rsidR="002E4963" w:rsidRPr="00051F94" w:rsidRDefault="002E4963" w:rsidP="00C23619">
            <w:pPr>
              <w:numPr>
                <w:ilvl w:val="0"/>
                <w:numId w:val="22"/>
              </w:numPr>
              <w:contextualSpacing/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Helvetica" w:hAnsi="Arial" w:cs="Arial"/>
                <w:bCs/>
                <w:color w:val="000000" w:themeColor="text1"/>
                <w:sz w:val="19"/>
                <w:szCs w:val="19"/>
                <w:lang w:bidi="en-US"/>
              </w:rPr>
              <w:t xml:space="preserve">navrhovaná intenzifikácia a využívanie nových vodárenských zdrojov z podzemných vôd v žiadnom prípade nemôže viesť k zhoršeniu stavu vôd postihnutých vodných útvarov. </w:t>
            </w:r>
          </w:p>
          <w:p w14:paraId="4F4D2B26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  <w:p w14:paraId="343BCC87" w14:textId="77777777" w:rsidR="00C67177" w:rsidRPr="00051F94" w:rsidRDefault="00C67177" w:rsidP="00C236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14:paraId="5E7D3CA0" w14:textId="77777777" w:rsidR="002E4963" w:rsidRPr="00051F94" w:rsidRDefault="002E4963" w:rsidP="00C2361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Aplikuje sa na aktivity:</w:t>
            </w:r>
          </w:p>
          <w:p w14:paraId="058BAE94" w14:textId="77777777" w:rsidR="002E4963" w:rsidRPr="00051F94" w:rsidRDefault="002E4963" w:rsidP="00C23619">
            <w:pPr>
              <w:numPr>
                <w:ilvl w:val="0"/>
                <w:numId w:val="23"/>
              </w:numPr>
              <w:contextualSpacing/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lastRenderedPageBreak/>
              <w:t>budovanie nových vodárenských zdrojov podzemných vôd a to v limitovaných prípadoch, keď nie je technicky a/alebo ekonomicky efektívne zásobovať obyvateľov obce pitnou vodou z existujúcich vodárenských sústav v ich bilančnom dosahu;</w:t>
            </w:r>
          </w:p>
          <w:p w14:paraId="5AB51F2F" w14:textId="77777777" w:rsidR="002E4963" w:rsidRPr="00051F94" w:rsidRDefault="002E4963" w:rsidP="00C23619">
            <w:pPr>
              <w:numPr>
                <w:ilvl w:val="0"/>
                <w:numId w:val="23"/>
              </w:numPr>
              <w:contextualSpacing/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intenzifikácia (v limitovaných prípadoch vedúca k rozšíreniu kapacity) existujúcich vodárenských zdrojov so zohľadnením kvantitatívneho stavu daného vodného útvaru pri súčasnom zabezpečení splnenia požiadaviek na jeho kvalitatívnu a kvantitatívnu ochranu.</w:t>
            </w:r>
          </w:p>
          <w:p w14:paraId="717A297C" w14:textId="77777777" w:rsidR="002E4963" w:rsidRPr="00051F94" w:rsidRDefault="002E4963" w:rsidP="00C23619">
            <w:pPr>
              <w:ind w:left="720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</w:pPr>
          </w:p>
          <w:p w14:paraId="76966AF6" w14:textId="77777777" w:rsidR="002E4963" w:rsidRPr="00051F94" w:rsidRDefault="002E4963" w:rsidP="00C23619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bCs/>
                <w:i/>
                <w:color w:val="000000" w:themeColor="text1"/>
                <w:sz w:val="19"/>
                <w:szCs w:val="19"/>
              </w:rPr>
              <w:t>Obe predmetné aktivity môžu byť odôvodnené iba na základe analýzy vyplývajúcej z príslušného plánu manažmentu povodia.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5562" w14:textId="649B8A3D" w:rsidR="002E4963" w:rsidRPr="00051F94" w:rsidRDefault="00FC0A7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</w:t>
            </w:r>
            <w:r w:rsidR="002E4963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4760" w14:textId="77777777" w:rsidR="002E4963" w:rsidRPr="00051F94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FF3F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spĺňa uvedenú podmienku.</w:t>
            </w:r>
          </w:p>
        </w:tc>
      </w:tr>
      <w:tr w:rsidR="00677DBF" w:rsidRPr="00051F94" w14:paraId="31A89770" w14:textId="77777777" w:rsidTr="006112F9">
        <w:trPr>
          <w:trHeight w:val="260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F8E9" w14:textId="7522287D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F343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2B67" w14:textId="77777777" w:rsidR="002E4963" w:rsidRPr="00051F94" w:rsidRDefault="002E4963" w:rsidP="00C23619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F4FF" w14:textId="77777777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9" w14:textId="77777777" w:rsidR="002E4963" w:rsidRPr="00051F94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F41C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nespĺňa uvedenú podmienku.</w:t>
            </w:r>
          </w:p>
        </w:tc>
      </w:tr>
      <w:tr w:rsidR="00677DBF" w:rsidRPr="00051F94" w14:paraId="4B81FBE0" w14:textId="77777777" w:rsidTr="006112F9">
        <w:trPr>
          <w:trHeight w:val="16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5F2F" w14:textId="77777777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4A17" w14:textId="77777777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4128" w14:textId="77777777" w:rsidR="002E4963" w:rsidRPr="00051F94" w:rsidRDefault="002E4963" w:rsidP="00C23619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451E" w14:textId="77777777" w:rsidR="002E4963" w:rsidRPr="00051F94" w:rsidRDefault="002E496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6278" w14:textId="77777777" w:rsidR="002E4963" w:rsidRPr="00051F94" w:rsidRDefault="002E4963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75E1" w14:textId="38546E58" w:rsidR="002E4963" w:rsidRPr="00051F94" w:rsidRDefault="002E4963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Aplikuje sa len pri aktivitách zameraných na budovanie</w:t>
            </w:r>
            <w:r w:rsidR="00EA636D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nových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 intenzifikáciu </w:t>
            </w:r>
            <w:r w:rsidR="00EA636D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existujúcich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vodárenských zdrojov.</w:t>
            </w:r>
          </w:p>
        </w:tc>
      </w:tr>
      <w:tr w:rsidR="00677DBF" w:rsidRPr="00051F94" w14:paraId="69DFC9DF" w14:textId="77777777" w:rsidTr="00251FCA">
        <w:trPr>
          <w:trHeight w:val="95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FBD52" w14:textId="14F336C4" w:rsidR="00FF5112" w:rsidRPr="00051F94" w:rsidRDefault="003176F3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1.7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EE91B" w14:textId="7CFB173A" w:rsidR="00FF5112" w:rsidRPr="00051F94" w:rsidRDefault="00FF5112" w:rsidP="00401DA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integrovaným operáciám 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15D17" w14:textId="47B6F917" w:rsidR="00FF5112" w:rsidRPr="00051F94" w:rsidRDefault="00FF5112" w:rsidP="00401DA3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sa, či je projekt súčasťou integrovanej operácie uvedenej v RIÚS/IÚS UMR a či vytvára synergický efekt s inými aktivitami IROP alebo iných OP a podporuje tak integrovaný prístup.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AE898" w14:textId="77777777" w:rsidR="00FF5112" w:rsidRPr="00051F94" w:rsidRDefault="00FF5112" w:rsidP="00611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0C1D229C" w14:textId="77777777" w:rsidR="00FF5112" w:rsidRPr="00051F94" w:rsidRDefault="00FF511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79B0" w14:textId="3F24E2A2" w:rsidR="00FF5112" w:rsidRPr="00051F94" w:rsidRDefault="002302BA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590" w14:textId="517ECC48" w:rsidR="00FF5112" w:rsidRPr="00051F94" w:rsidRDefault="00FF5112" w:rsidP="00401DA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súčasťou integrovanej operácie uvedenej v RIÚS/IÚS UMR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 podporuje integrovaný prístup a vytvára synergický efekt s inými aktivitami IROP alebo iných OP. </w:t>
            </w:r>
          </w:p>
        </w:tc>
      </w:tr>
      <w:tr w:rsidR="00677DBF" w:rsidRPr="00051F94" w14:paraId="5EE9E945" w14:textId="77777777" w:rsidTr="00251FCA">
        <w:trPr>
          <w:trHeight w:val="1025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C459" w14:textId="77777777" w:rsidR="00FF5112" w:rsidRPr="00051F94" w:rsidRDefault="00FF511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3B1" w14:textId="77777777" w:rsidR="00FF5112" w:rsidRPr="00051F94" w:rsidRDefault="00FF5112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F155" w14:textId="77777777" w:rsidR="00FF5112" w:rsidRPr="00051F94" w:rsidRDefault="00FF5112" w:rsidP="00C23619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102A" w14:textId="77777777" w:rsidR="00FF5112" w:rsidRPr="00051F94" w:rsidRDefault="00FF5112" w:rsidP="006112F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DD46" w14:textId="4163394C" w:rsidR="00FF5112" w:rsidRPr="00051F94" w:rsidRDefault="00FF5112" w:rsidP="006112F9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AE2" w14:textId="2A0B420E" w:rsidR="00FF5112" w:rsidRPr="00051F94" w:rsidRDefault="00FF5112" w:rsidP="00C2361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súčasťou integrovanej operácie uvedenej v RIÚS/IÚS UMR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ani nepodporuje integrovaný prístup a nevytvára synergický efekt s inými aktivitami IROP alebo iných OP.</w:t>
            </w:r>
          </w:p>
        </w:tc>
      </w:tr>
      <w:tr w:rsidR="00051F94" w:rsidRPr="00051F94" w14:paraId="3689C661" w14:textId="77777777" w:rsidTr="000C172D">
        <w:trPr>
          <w:trHeight w:val="440"/>
        </w:trPr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E7BC8" w14:textId="2B1B5F9E" w:rsidR="00051F94" w:rsidRPr="002B5BB8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1.8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F6C11" w14:textId="4E2BC06E" w:rsidR="00051F94" w:rsidRPr="002B5BB8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15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19BCB" w14:textId="7F822CA6" w:rsidR="00051F94" w:rsidRPr="002B5BB8" w:rsidRDefault="00051F94" w:rsidP="00051F94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2D311" w14:textId="77777777" w:rsidR="00051F94" w:rsidRPr="007B1E87" w:rsidRDefault="00051F94" w:rsidP="00051F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3F92AFDC" w14:textId="4D934B0B" w:rsidR="00051F94" w:rsidRPr="00F50102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6129" w14:textId="08BE494F" w:rsidR="00051F94" w:rsidRPr="002B5BB8" w:rsidRDefault="00744CDB" w:rsidP="00051F9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64B9" w14:textId="67530831" w:rsidR="00051F94" w:rsidRPr="00F50102" w:rsidRDefault="00051F94" w:rsidP="00744CD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 plneniu aspoň jedného z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051F94" w:rsidRPr="00051F94" w14:paraId="1299EB7E" w14:textId="77777777" w:rsidTr="000C172D">
        <w:trPr>
          <w:trHeight w:val="57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F732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158E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AA4" w14:textId="77777777" w:rsidR="00051F94" w:rsidRPr="00051F94" w:rsidRDefault="00051F94" w:rsidP="00051F94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45F0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0984" w14:textId="766D5B09" w:rsidR="00051F94" w:rsidRPr="002B5BB8" w:rsidRDefault="00051F94" w:rsidP="00051F9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D436" w14:textId="1444B689" w:rsidR="00051F94" w:rsidRPr="00F50102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051F94" w:rsidRPr="00051F94" w14:paraId="46E44B0D" w14:textId="77777777" w:rsidTr="006112F9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A8909F" w14:textId="77777777" w:rsidR="00051F94" w:rsidRPr="00051F94" w:rsidRDefault="00051F94" w:rsidP="00051F94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4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C11234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051F94" w:rsidRPr="00051F94" w14:paraId="68283F9B" w14:textId="77777777" w:rsidTr="006112F9">
        <w:trPr>
          <w:trHeight w:val="1056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1CB8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A75E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A9E6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vnútorná logika projektu, t.j. či sú aktivity projektu zvolené na základe východiskovej situácie, či sú zrozumiteľne definované a či zabezpečujú dosiahnutie plánovaných cieľov projektu. 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B3D8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  <w:p w14:paraId="360556C3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42E5" w14:textId="50688D04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0CAE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051F94" w:rsidRPr="00051F94" w14:paraId="0435C968" w14:textId="77777777" w:rsidTr="006112F9">
        <w:trPr>
          <w:trHeight w:val="1052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19B0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62DB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5762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0CAF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9DB9" w14:textId="75E2EC65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7755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situácie, nie je potrebná/neprispieva k dosahovaniu plánovaných cieľov projektu, resp. projekt neobsahuje aktivity, ktoré by boli vhodné pre jeho realizáciu. Nedostatky nie sú závažného charakteru, neohrozujú jeho úspešnú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 xml:space="preserve">realizáciu. </w:t>
            </w:r>
          </w:p>
        </w:tc>
      </w:tr>
      <w:tr w:rsidR="00051F94" w:rsidRPr="00051F94" w14:paraId="16462F0A" w14:textId="77777777" w:rsidTr="006112F9">
        <w:trPr>
          <w:trHeight w:val="130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3FE0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247B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4DB1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2BF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39BC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B213" w14:textId="4EB0D3BD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jedna z hlavných aktivít projektu nie je odôvodnená z pohľadu východiskovej situácie a potrieb žiadateľa, nie je potrebná/neprispieva k dosahovaniu plánovaných cieľov projektu, resp. projekt neobsahuje aktivity, ktoré sú nevyhnutné pre jeho realizáciu. Nedostatky sú závažného charakteru, ohrozujú jeho úspešnú realizáciu.</w:t>
            </w:r>
          </w:p>
        </w:tc>
      </w:tr>
      <w:tr w:rsidR="00051F94" w:rsidRPr="00051F94" w14:paraId="0140B71E" w14:textId="77777777" w:rsidTr="006112F9">
        <w:trPr>
          <w:trHeight w:val="639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459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52BF" w14:textId="120210EC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5FA0" w14:textId="39A4AD9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3F76" w14:textId="77777777" w:rsidR="00051F94" w:rsidRPr="00051F94" w:rsidRDefault="00051F94" w:rsidP="00051F94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14:paraId="6C13EBF9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9895" w14:textId="6B2EFF26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5FF9" w14:textId="52C61B8A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rozsahu, aktivity projektu majú logickú vzájomnú súvislosť, časové lehoty realizácie aktivít sú reálne a sú v súlade so súvisiacou dokumentáciou.</w:t>
            </w:r>
          </w:p>
        </w:tc>
      </w:tr>
      <w:tr w:rsidR="00051F94" w:rsidRPr="00051F94" w14:paraId="29D76F2E" w14:textId="77777777" w:rsidTr="006112F9">
        <w:trPr>
          <w:trHeight w:val="411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9D57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E939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1425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CF4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14B6" w14:textId="5503FEB5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800E" w14:textId="1B2AE8B2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vykazuje jeden z nedostatkov: neumožňuje dosiahnutie minimálne jedného z výstupov projektu v navrhovanom rozsahu, aktivity projektu nie sú v plnej miere logicky previazané, časové lehoty realizácie aktivít nie sú reálne, nie sú chronologicky usporiadané a nie sú v súlade so súvisiacou dokumentáciou.</w:t>
            </w:r>
          </w:p>
        </w:tc>
      </w:tr>
      <w:tr w:rsidR="00051F94" w:rsidRPr="00051F94" w14:paraId="0783F7C5" w14:textId="77777777" w:rsidTr="006112F9">
        <w:trPr>
          <w:trHeight w:val="93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063C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136D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F818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6CBD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5517" w14:textId="6E2D357E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49AB" w14:textId="53577301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viaceré z nasledovných nedostatkov: neumožňuje dosiahnutie výstupov projektu v navrhovanom rozsahu, aktivity projektu nie sú v plnej miere logicky previazané, časové lehoty realizácie aktivít nie sú reálne, nie sú chronologicky usporiadané, nie sú v súlade so súvisiacou dokumentáciou. </w:t>
            </w:r>
          </w:p>
        </w:tc>
      </w:tr>
      <w:tr w:rsidR="00051F94" w:rsidRPr="00051F94" w14:paraId="34AE03B2" w14:textId="77777777" w:rsidTr="006112F9">
        <w:trPr>
          <w:trHeight w:val="43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017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A484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5305" w14:textId="4F074FBE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reálne na výšku žiadaného NFP.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8BFB" w14:textId="77777777" w:rsidR="00051F94" w:rsidRPr="00051F94" w:rsidRDefault="00051F94" w:rsidP="00051F9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4AECF99E" w14:textId="77777777" w:rsidR="00051F94" w:rsidRPr="00051F94" w:rsidRDefault="00051F94" w:rsidP="00051F9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0FA6" w14:textId="7C161B54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  <w:p w14:paraId="75320055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C374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Zvolené merateľné ukazovatele komplexne vyjadrujú výsledky navrhovaných aktivít, sú dosiahnuteľné v lehotách stanovených v časovom rámci projektu a ich plánované hodnoty zodpovedajú výške NFP v zmysle princípu „Value for money“. Prípadné nedostatky nepredstavujú vážne ohrozenie dosiahnutia cieľov projektu.</w:t>
            </w:r>
          </w:p>
        </w:tc>
      </w:tr>
      <w:tr w:rsidR="00051F94" w:rsidRPr="00051F94" w14:paraId="441564AF" w14:textId="77777777" w:rsidTr="006112F9">
        <w:trPr>
          <w:trHeight w:val="48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933E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6140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C924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2B57" w14:textId="77777777" w:rsidR="00051F94" w:rsidRPr="00051F94" w:rsidRDefault="00051F94" w:rsidP="00051F9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8A7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F7CD" w14:textId="77777777" w:rsid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jeden z merateľných ukazovateľov vykazuje závažné nedostatky v nasledovných oblastiach: nereálna plánovaná hodnota z vecného, časového alebo finančného hľadiska. </w:t>
            </w:r>
          </w:p>
          <w:p w14:paraId="0C1CB340" w14:textId="678FD6BB" w:rsidR="002009BB" w:rsidRPr="00051F94" w:rsidRDefault="002009BB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51F94" w:rsidRPr="00051F94" w14:paraId="59662D35" w14:textId="77777777" w:rsidTr="006112F9">
        <w:trPr>
          <w:trHeight w:val="13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5D87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2.4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B041" w14:textId="6ADBAE85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6789" w14:textId="212F5020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posudzuje, či je spracovaná SWOT analýza projektu a všetkých oblastí súvisiacich s daným projektom v požadovanom rozsahu, či sú jednotlivé oblasti (silné stránky, slabé stránky, príležitosti a ohrozenia) popísané jasne a komplexne, či sú identifikované riziká realizácie projektu a ak áno, či je navrhnutý spôsob ich minimalizácie počas realizácie aj po ukončení realizácie projektu.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B5E7" w14:textId="1FC5C317" w:rsidR="00051F94" w:rsidRPr="00051F94" w:rsidRDefault="00051F94" w:rsidP="00051F9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5587" w14:textId="219AF145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0A7C" w14:textId="58E4867C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 a kvalite.</w:t>
            </w:r>
          </w:p>
        </w:tc>
      </w:tr>
      <w:tr w:rsidR="00051F94" w:rsidRPr="00051F94" w14:paraId="4B3FB21D" w14:textId="77777777" w:rsidTr="006112F9">
        <w:trPr>
          <w:trHeight w:val="13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355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A0A5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BE92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BEB4" w14:textId="77777777" w:rsidR="00051F94" w:rsidRPr="00051F94" w:rsidRDefault="00051F94" w:rsidP="00051F9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ED2A" w14:textId="747C368F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1BB5" w14:textId="3A404A98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rozsahu, avšak táto vykazuje nedostatky v niektorom zo základných parametrov.</w:t>
            </w:r>
          </w:p>
        </w:tc>
      </w:tr>
      <w:tr w:rsidR="00051F94" w:rsidRPr="00051F94" w14:paraId="62B3E504" w14:textId="77777777" w:rsidTr="006112F9">
        <w:trPr>
          <w:trHeight w:val="33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E7B0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2D04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E9BD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D819" w14:textId="77777777" w:rsidR="00051F94" w:rsidRPr="00051F94" w:rsidRDefault="00051F94" w:rsidP="00051F9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E1CA" w14:textId="5E722343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F0C0" w14:textId="05DB58B4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 a kvalite.</w:t>
            </w:r>
          </w:p>
        </w:tc>
      </w:tr>
      <w:tr w:rsidR="00051F94" w:rsidRPr="00051F94" w14:paraId="08DB456F" w14:textId="77777777" w:rsidTr="006112F9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A65C09E" w14:textId="77777777" w:rsidR="00051F94" w:rsidRPr="00051F94" w:rsidRDefault="00051F94" w:rsidP="00051F94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4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9B3209" w14:textId="77777777" w:rsidR="00051F94" w:rsidRPr="00051F94" w:rsidRDefault="00051F94" w:rsidP="00051F94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Administratívna a prevádzková kapacita žiadateľa</w:t>
            </w:r>
          </w:p>
        </w:tc>
      </w:tr>
      <w:tr w:rsidR="00051F94" w:rsidRPr="00051F94" w14:paraId="555BF907" w14:textId="77777777" w:rsidTr="006112F9">
        <w:trPr>
          <w:trHeight w:val="67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75B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9E69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D12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zostavenie realizačného tímu s dostatočnými administratívnymi a odbornými kapacitami na riadenie projektu (projektový manažment, monitorovanie, financovanie, publicita, dodržiavanie ustanovení zmluvy o NFP) a odbornú realizáciu aktivít projektu (vrátane rozdelenia kompetencií, definovania potrebných odborných znalostí, vzdelania atď.).</w:t>
            </w:r>
          </w:p>
          <w:p w14:paraId="1024A8FA" w14:textId="0A791594" w:rsidR="00051F94" w:rsidRPr="00051F94" w:rsidRDefault="00051F94" w:rsidP="00CA3D3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 xml:space="preserve">Administratívne a odborné kapacity môžu byť zabezpečené buď interne alebo externe. 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CA2" w14:textId="77777777" w:rsidR="00051F94" w:rsidRPr="00051F94" w:rsidRDefault="00051F94" w:rsidP="00051F9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04EA0D70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3B76" w14:textId="07557A05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D311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 odborné kapacity žiadateľa sú dostatočné z hľadiska ich počtu, odborných znalostí a skúseností, jednotlivé kompetencie v rámci projektového tímu sú zadefinované komplexne a vytvárajú predpoklad pre správne riadenie a implementáciu projektu. </w:t>
            </w:r>
          </w:p>
          <w:p w14:paraId="32D10BAB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zabezpečené, resp. deklaruje zabezpečenie riadenia projektu:</w:t>
            </w:r>
          </w:p>
          <w:p w14:paraId="18B96675" w14:textId="77777777" w:rsidR="00051F94" w:rsidRPr="00051F94" w:rsidRDefault="00051F94" w:rsidP="00051F94">
            <w:pPr>
              <w:numPr>
                <w:ilvl w:val="0"/>
                <w:numId w:val="24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 xml:space="preserve">externými kapacitami so skúsenosťami v oblasti riadenia obdobných/porovnateľných projektov, alebo </w:t>
            </w:r>
          </w:p>
          <w:p w14:paraId="1B9C46FC" w14:textId="77777777" w:rsidR="00051F94" w:rsidRPr="00051F94" w:rsidRDefault="00051F94" w:rsidP="00051F94">
            <w:pPr>
              <w:numPr>
                <w:ilvl w:val="0"/>
                <w:numId w:val="24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>internými kapacitami primeranými rozsahu projektu, ktoré majú skúsenosti s riadením aspoň jedného obdobného/porovnateľné projektu.</w:t>
            </w:r>
          </w:p>
        </w:tc>
      </w:tr>
      <w:tr w:rsidR="00051F94" w:rsidRPr="00051F94" w14:paraId="78802B5D" w14:textId="77777777" w:rsidTr="006112F9">
        <w:trPr>
          <w:trHeight w:val="34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6652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3D65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0ADB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521E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2B95" w14:textId="52E22CE8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AF12" w14:textId="1498B7FA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sú dostatočné z hľadiska ich počtu, odborných znalostí a skúseností. Žiadateľ má zabezpečené, resp. deklaruje zabezpečenie riadenia projektu internými alebo externými kapacitami, avšak v niektorej z oblastí ako napr. počet administratívnych a odborných kapacít, zadefinovanie jednotlivých kompetencií v rámci projektového tímu a pod. sa objavujú nedostatky, ktoré však nemajú rozhodujúci vplyv na správne riadenie a implementáciu projektu. </w:t>
            </w:r>
          </w:p>
        </w:tc>
      </w:tr>
      <w:tr w:rsidR="00051F94" w:rsidRPr="00051F94" w14:paraId="7A3A48DE" w14:textId="77777777" w:rsidTr="006112F9">
        <w:trPr>
          <w:trHeight w:val="33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8937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FBB1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80AE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62B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AF3E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B02C" w14:textId="6F41AE56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 kapacity žiadateľa (zabezpečené buď interne alebo externe) sú nedostatočné v minimálne jednom z nasledovných hľadísk: počet, odborné znalosti a skúsenosti, nekompletný projektový tím. Nedostatky administratívnych kapacít vytvárajú ohrozenie pre správne riadenie a implementáciu projektu.</w:t>
            </w:r>
          </w:p>
        </w:tc>
      </w:tr>
      <w:tr w:rsidR="00051F94" w:rsidRPr="00051F94" w14:paraId="3E6CA43A" w14:textId="77777777" w:rsidTr="006112F9">
        <w:trPr>
          <w:trHeight w:val="183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786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3.2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6507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8913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FA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C1B4" w14:textId="70079BBD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E9C9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podrobne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051F94" w:rsidRPr="00051F94" w14:paraId="13C46EEB" w14:textId="77777777" w:rsidTr="006112F9">
        <w:trPr>
          <w:trHeight w:val="488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2799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1351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D221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35AC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E0BA" w14:textId="53F26AF6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FFDC" w14:textId="4C699EBA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Spôsob zabezpečenia potrebného technického zázemia, administratívnych kapacít, legislatívneho prostredia a podobne (analogicky podľa typu projektu) s cieľom zabezpečenia udržateľnosti výstupov/výsledkov projektu po ukončení realizácie jeho aktivít a/alebo vyhodnotenie možných rizík udržateľnosti projektu vrátane spôsobu ich predchádzania a ich manažmentu je uvedený len vo všeobecnej rovine, resp. vykazuje nedostatky, ktoré však nemajú rozhodujúci vplyv na prevádzkovú a technickú udržateľnosť projektu.</w:t>
            </w:r>
          </w:p>
        </w:tc>
      </w:tr>
      <w:tr w:rsidR="00051F94" w:rsidRPr="00051F94" w14:paraId="5D7015C4" w14:textId="77777777" w:rsidTr="006112F9">
        <w:trPr>
          <w:trHeight w:val="49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F899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ED82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6BAC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57FD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48B9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A372" w14:textId="77777777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051F94" w:rsidRPr="00051F94" w14:paraId="053ED644" w14:textId="77777777" w:rsidTr="006112F9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FFF9BD" w14:textId="77777777" w:rsidR="00051F94" w:rsidRPr="00051F94" w:rsidRDefault="00051F94" w:rsidP="00051F94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4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1C92F7" w14:textId="77777777" w:rsidR="00051F94" w:rsidRPr="00051F94" w:rsidRDefault="00051F94" w:rsidP="00051F94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051F94" w:rsidRPr="00051F94" w14:paraId="5EC49525" w14:textId="77777777" w:rsidTr="00CA3D3A">
        <w:trPr>
          <w:trHeight w:val="135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B96" w14:textId="5467B881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9BC4" w14:textId="2A1E14B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80E1" w14:textId="0E55BBC6" w:rsidR="00051F94" w:rsidRPr="00051F94" w:rsidRDefault="00051F94" w:rsidP="00051F94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žiadané výdavky projektu vecne (obsahovo) oprávnené v zmysle riadiacej dokumentácie IROP upravujúcej oblasť oprávnenosti výdavkov, resp. výzvy, či sú účelné z pohľadu dosahovania stanovených cieľov projektu (t.j. či sú potrebné/nevyhnutné na realizáciu aktivít projektu) a či spĺňajú zásadu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(t.j. plnenie stanovených cieľov a dosahovanie plánovaných výsledkov).</w:t>
            </w:r>
          </w:p>
          <w:p w14:paraId="24160DC2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14:paraId="0D9D2FC9" w14:textId="7D1A9308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E1D2" w14:textId="7F8785A6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3126" w14:textId="0D1F394E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3BF3" w14:textId="237502C2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E1137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051F94" w:rsidRPr="00051F94" w14:paraId="3A7D2BE7" w14:textId="77777777" w:rsidTr="003524F8">
        <w:trPr>
          <w:trHeight w:val="106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8B4E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82A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5260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1506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7374" w14:textId="717B4A71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EEAC" w14:textId="5AF77EC1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E1137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  <w:tr w:rsidR="00051F94" w:rsidRPr="00051F94" w14:paraId="48F0850F" w14:textId="77777777" w:rsidTr="003524F8">
        <w:trPr>
          <w:trHeight w:val="54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A1A93" w14:textId="399AED6A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A7B8D" w14:textId="0792C04C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7CD59" w14:textId="77777777" w:rsidR="00051F94" w:rsidRPr="00051F94" w:rsidRDefault="00051F94" w:rsidP="00051F94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14:paraId="0EBD897B" w14:textId="77777777" w:rsidR="00051F94" w:rsidRPr="00051F94" w:rsidRDefault="00051F94" w:rsidP="00051F94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184FE55D" w14:textId="77777777" w:rsidR="00051F94" w:rsidRPr="00051F94" w:rsidRDefault="00051F94" w:rsidP="00051F94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C1EE4AB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83763B0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Pozn.:</w:t>
            </w: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  <w:t xml:space="preserve">V prípade benchmarkov (t.j. smerných ukazovateľov, ktoré sa vzťahujú na výstupy  projektu) a finančných limitov (t.j. jednotkových cien, ktoré sa vzťahujú na konkrétne typy výdavkov, napr. informačná tabuľa), budú stanovené konkrétne hodnoty, ktoré budú pravidelne aktualizované podľa vývoja trhových cien. </w:t>
            </w:r>
          </w:p>
          <w:p w14:paraId="5FF84288" w14:textId="77777777" w:rsidR="00051F94" w:rsidRPr="00051F94" w:rsidRDefault="00051F94" w:rsidP="00051F94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V prípade prekročenia stanovených benchmarkov (alebo iných spôsobov overovania hospodárnosti a efektívnosti výdavkov viažucich sa na výstupy projektu) sa posúdi, či toto prekročenie zodpovedá navrhnutému riešeniu a sťaženým podmienkam realizácie projektu. To znamená, že výdavky nad referenčnú hodnotu benchmarku budú akceptovateľné ako oprávnené iba v odôvodnených objektívnych prípadoch vyplývajúcich zo stavebno-technických, technologických, prírodných, časových alebo iných špecifík. V prípade prekročenia stanovených finančných limitov, alebo v prípade konkrétnych výdavkov, ktoré budú nadhodnotené, budú tieto výdavky znížené a projekt nebude diskvalifikovaný.</w:t>
            </w:r>
          </w:p>
          <w:p w14:paraId="521D5550" w14:textId="77777777" w:rsidR="00051F94" w:rsidRPr="00051F94" w:rsidRDefault="00051F94" w:rsidP="00051F94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14:paraId="654417AD" w14:textId="4A5ECC35" w:rsidR="00051F94" w:rsidRPr="00051F94" w:rsidRDefault="00051F94" w:rsidP="00051F94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hospodárnosti a efektívnosti výdavkov projektu sa berie do úvahy výška výdavkov projektu po ich prípadnom znížení odborným hodnotiteľom.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D22AA" w14:textId="31CCE78B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8CEE" w14:textId="1CDB949E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3210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14:paraId="104A604A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105CAD82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14:paraId="302650A5" w14:textId="5337B8F1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051F94" w:rsidRPr="00051F94" w14:paraId="4D1D6257" w14:textId="77777777" w:rsidTr="008E03EC">
        <w:trPr>
          <w:trHeight w:val="217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D765A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235BC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43B5F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68FB0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34D85" w14:textId="4E7917A9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1C774" w14:textId="0A1150A8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F94" w:rsidRPr="00051F94" w14:paraId="76DD383E" w14:textId="77777777" w:rsidTr="008E03EC">
        <w:trPr>
          <w:trHeight w:val="148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7C18" w14:textId="516D97EA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4.3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926A" w14:textId="7469BD4D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640" w14:textId="77777777" w:rsidR="00051F94" w:rsidRPr="00051F94" w:rsidRDefault="00051F94" w:rsidP="00051F94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Posudzuje sa zabezpečenie udržateľnosti projektu, t.j. finančného krytia prevádzky projektu (CF - cash flow) počas celého obdobia udržateľnosti projektu podľa čl. 71 všeobecného nariadenia.</w:t>
            </w:r>
          </w:p>
          <w:p w14:paraId="127DF1B8" w14:textId="77777777" w:rsidR="00051F94" w:rsidRPr="00051F94" w:rsidRDefault="00051F94" w:rsidP="00051F94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Za udržateľný sa považuje projekt, ktorý vo finančnej analýze preukáže kladný alebo minimálne nulový kumulovaný (nediskontovaný) čistý peňažný tok za každý rok obdobia udržateľnosti projektu. V prípade záporného kumulovaného čistého peňažného toku sa </w:t>
            </w: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hodnotia dostatočné zdroje krytia deficitu.</w:t>
            </w:r>
          </w:p>
          <w:p w14:paraId="20507D25" w14:textId="04AEE9BA" w:rsidR="00051F94" w:rsidRPr="00051F94" w:rsidRDefault="00051F94" w:rsidP="00051F94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Zároveň sa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finančná situácia/stabilita žiadateľa a to podľa vypočítaných hodnôt finančných ukazovateľov v rámci finančnej analýzy (napr. v prípade verejného sektora na základe ukazovateľa likvidity a ukazovateľa zadlženosti, v prípade súkromného sektora na základe modelu hodnotenia firmy, napr. Altmanov index, index bonity).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B0C2" w14:textId="45493BCB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2E4C9" w14:textId="2587AF91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F131D" w14:textId="554FF993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Prevádzka projektu dosahuje kladnú, alebo minimálne nulovú hodnotu kumulovaného CF v každom roku referenčného obdobia udržateľnosti projektu, resp. pre roky so záporným kumulovaným CF sú uvedené relevantné a overiteľné zdroje/spôsoby finančného krytia prevádzky (napr. preukázaný záväzok samosprávy dofinancovať prevádzku projektu). Finančná situácia žiadateľa je dobrá a nepredstavuje riziko pre realizáciu projektu.</w:t>
            </w:r>
          </w:p>
        </w:tc>
      </w:tr>
      <w:tr w:rsidR="00051F94" w:rsidRPr="00051F94" w14:paraId="5068D37A" w14:textId="77777777" w:rsidTr="003524F8">
        <w:trPr>
          <w:trHeight w:val="67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EEAF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9028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2D8A" w14:textId="77777777" w:rsidR="00051F94" w:rsidRPr="00051F94" w:rsidRDefault="00051F94" w:rsidP="00051F9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ED42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ECFF" w14:textId="4B305DF9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BB64" w14:textId="1991F4F2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Prevádzka projektu nedosahuje kladnú hodnotu kumulovaného CF v každom roku referenčného obdobia udržateľnosti projektu a zároveň pre roky so záporným kumulovaným CF nie sú uvedené relevantné a overiteľné zdroje/spôsoby finančného krytia prevádzky (napr. preukázaný záväzok samosprávy dofinancovať prevádzku projektu).  </w:t>
            </w:r>
            <w:r w:rsidRPr="00051F94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Finančná situácia žiadateľa je zlá a predstavuje riziko pre realizáciu projektu.</w:t>
            </w:r>
          </w:p>
        </w:tc>
      </w:tr>
      <w:tr w:rsidR="00051F94" w:rsidRPr="00051F94" w14:paraId="04287D13" w14:textId="77777777" w:rsidTr="003524F8">
        <w:trPr>
          <w:trHeight w:val="37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DBBD" w14:textId="0F6EB970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4.4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DB7F" w14:textId="25CCC924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Miera vecnej oprávnenosti výdavkov projektu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BAF" w14:textId="777D4E04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miera správnosti rozpočtu projektu z pohľadu vecnej oprávnenosti (obsahová oprávnenosť v zmysle riadiacej dokumentácie IROP, hospodárnosť, efektívnosť, účelnosť a účinnosť).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1CC2" w14:textId="7AB205DC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238E" w14:textId="1A97C24F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D9B2" w14:textId="7E85E710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95% a viac z finančnej hodnoty navrhovaných celkových výdavkov je vecne oprávnených.</w:t>
            </w:r>
          </w:p>
        </w:tc>
      </w:tr>
      <w:tr w:rsidR="00051F94" w:rsidRPr="00051F94" w14:paraId="56684E1A" w14:textId="77777777" w:rsidTr="003524F8">
        <w:trPr>
          <w:trHeight w:val="19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EB17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C830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DCF0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B4A3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95B2" w14:textId="425672F3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CE9D" w14:textId="71FE5309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90% až do 95% z finančnej hodnoty navrhovaných celkových výdavkov je vecne oprávnených.</w:t>
            </w:r>
          </w:p>
        </w:tc>
      </w:tr>
      <w:tr w:rsidR="00051F94" w:rsidRPr="00051F94" w14:paraId="6A6B1B9C" w14:textId="77777777" w:rsidTr="003524F8">
        <w:trPr>
          <w:trHeight w:val="532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FB99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F12D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7F6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CF54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D83" w14:textId="40FED33F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0D0B" w14:textId="44C474C8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80% až do 90% z finančnej hodnoty navrhovaných celkových výdavkov je vecne oprávnených.</w:t>
            </w:r>
          </w:p>
        </w:tc>
      </w:tr>
      <w:tr w:rsidR="00051F94" w:rsidRPr="00051F94" w14:paraId="026470F4" w14:textId="77777777" w:rsidTr="003524F8">
        <w:trPr>
          <w:trHeight w:val="52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2DDA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D98A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58B4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B581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CD9C" w14:textId="554F5E50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B8E8" w14:textId="3FC107E1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70% až do 80% z finančnej hodnoty navrhovaných celkových výdavkov je vecne oprávnených.</w:t>
            </w:r>
          </w:p>
        </w:tc>
      </w:tr>
      <w:tr w:rsidR="00051F94" w:rsidRPr="00051F94" w14:paraId="7E4A4361" w14:textId="77777777" w:rsidTr="008E03EC">
        <w:trPr>
          <w:trHeight w:val="13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19063" w14:textId="5C4D91F2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4.5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CF743" w14:textId="26E4DA0A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Štruktúra a správnosť rozpočtu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6A241" w14:textId="3959F2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či sú jednotlivé výdavky zrozumiteľné, matematicky správne, dostatočne podrobne špecifikované a správne priradené k skupinám oprávnených výdavkov.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ECDAF" w14:textId="77777777" w:rsidR="00051F94" w:rsidRPr="00051F94" w:rsidRDefault="00051F94" w:rsidP="00051F9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14:paraId="438B5415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7382" w14:textId="34439D1B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1FCF" w14:textId="20EEE2BC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je matematicky správny, jednotlivé položky sú  zrozumiteľné, dostatočne podrobne špecifikované a správne priradené k skupinám oprávnených výdavkov. Prípadné nedostatky sa týkajú iba individuálnych položiek a nespôsobujú odchýlku väčšiu než 1% z výšky celkového navrhovaného rozpočtu.</w:t>
            </w:r>
          </w:p>
        </w:tc>
      </w:tr>
      <w:tr w:rsidR="00051F94" w:rsidRPr="00051F94" w14:paraId="26EE8F23" w14:textId="77777777" w:rsidTr="003524F8">
        <w:trPr>
          <w:trHeight w:val="24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A1B41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47AB0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35EE5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C506F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729E" w14:textId="077D1C8B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C508" w14:textId="65BCB698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nespôsobujú odchýlku väčšiu než 5% z výšky celkového navrhovaného rozpočtu.</w:t>
            </w:r>
          </w:p>
        </w:tc>
      </w:tr>
      <w:tr w:rsidR="00051F94" w:rsidRPr="00051F94" w14:paraId="1C61A69E" w14:textId="77777777" w:rsidTr="008E03EC">
        <w:trPr>
          <w:trHeight w:val="12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A39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FBB5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4A63" w14:textId="77777777" w:rsidR="00051F94" w:rsidRPr="00051F94" w:rsidRDefault="00051F94" w:rsidP="00051F9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86B7" w14:textId="77777777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F0A5" w14:textId="13B5C49B" w:rsidR="00051F94" w:rsidRPr="00051F94" w:rsidRDefault="00051F94" w:rsidP="00051F9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5CD" w14:textId="3F442A8D" w:rsidR="00051F94" w:rsidRPr="00051F94" w:rsidRDefault="00051F94" w:rsidP="00051F9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spôsobujú odchýlku 5% a viac z výšky celkového navrhovaného rozpočtu.</w:t>
            </w:r>
          </w:p>
        </w:tc>
      </w:tr>
    </w:tbl>
    <w:p w14:paraId="6645FC98" w14:textId="77777777" w:rsidR="002009BB" w:rsidRDefault="002009BB">
      <w:pPr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br w:type="page"/>
      </w:r>
    </w:p>
    <w:p w14:paraId="624DFDDB" w14:textId="49D21F90" w:rsidR="002E4963" w:rsidRPr="003F57FB" w:rsidRDefault="002E4963" w:rsidP="007B3752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3F57FB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Sumarizačný prehľad hodnotiacich kritérií</w:t>
      </w:r>
    </w:p>
    <w:tbl>
      <w:tblPr>
        <w:tblStyle w:val="TableGrid4"/>
        <w:tblW w:w="5020" w:type="pct"/>
        <w:tblLayout w:type="fixed"/>
        <w:tblLook w:val="04A0" w:firstRow="1" w:lastRow="0" w:firstColumn="1" w:lastColumn="0" w:noHBand="0" w:noVBand="1"/>
      </w:tblPr>
      <w:tblGrid>
        <w:gridCol w:w="1812"/>
        <w:gridCol w:w="10205"/>
        <w:gridCol w:w="1295"/>
        <w:gridCol w:w="1295"/>
        <w:gridCol w:w="1069"/>
      </w:tblGrid>
      <w:tr w:rsidR="00677DBF" w:rsidRPr="00051F94" w14:paraId="34C99A8C" w14:textId="77777777" w:rsidTr="007338EA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4299CCE" w14:textId="77777777" w:rsidR="002E4963" w:rsidRPr="0017587A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7587A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B718412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CE47C55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482A1E5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Hodnotenie/bodová škála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2899FF0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677DBF" w:rsidRPr="00051F94" w14:paraId="6B787A5D" w14:textId="77777777" w:rsidTr="007338EA">
        <w:trPr>
          <w:trHeight w:val="18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3AB6F7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navrhovaného projektu k cieľom a výsledkom IROP a PO 4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EDDC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 Súlad projektu s programovou stratégiou IROP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D961" w14:textId="5E8E809A" w:rsidR="002E4963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2A84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E058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7DBF" w:rsidRPr="00051F94" w14:paraId="1A8344A3" w14:textId="77777777" w:rsidTr="007338EA">
        <w:trPr>
          <w:trHeight w:val="18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52C2" w14:textId="77777777" w:rsidR="00426285" w:rsidRPr="00051F94" w:rsidRDefault="00426285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E54B" w14:textId="03311D6C" w:rsidR="00426285" w:rsidRPr="00051F94" w:rsidRDefault="00426285" w:rsidP="003176F3">
            <w:pPr>
              <w:ind w:left="315" w:hanging="315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3176F3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 programom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6229" w14:textId="5255EFCE" w:rsidR="00426285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98BB" w14:textId="77777777" w:rsidR="00426285" w:rsidRPr="00051F94" w:rsidRDefault="00426285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35F9" w14:textId="77777777" w:rsidR="00426285" w:rsidRPr="00051F94" w:rsidRDefault="00426285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7DBF" w:rsidRPr="00051F94" w14:paraId="427EF31E" w14:textId="77777777" w:rsidTr="007338EA">
        <w:trPr>
          <w:trHeight w:val="19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D704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77F6" w14:textId="259DF19F" w:rsidR="002E4963" w:rsidRPr="00051F94" w:rsidRDefault="003176F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1.3</w:t>
            </w:r>
            <w:r w:rsidR="002E4963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 Regionálnou integrovanou územnou stratégiou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0B75" w14:textId="6299F71C" w:rsidR="002E4963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6157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3EA4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7DBF" w:rsidRPr="00051F94" w14:paraId="1E43BD14" w14:textId="77777777" w:rsidTr="007338EA">
        <w:trPr>
          <w:trHeight w:val="21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A210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0353" w14:textId="63C68761" w:rsidR="002E4963" w:rsidRPr="00051F94" w:rsidRDefault="003176F3" w:rsidP="007338EA">
            <w:pPr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1.4</w:t>
            </w:r>
            <w:r w:rsidR="002E4963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 Plánom rozvoja verejných vodovodov a verejných kanalizácií pre územie SR</w:t>
            </w:r>
            <w:r w:rsidR="00D64A9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</w:t>
            </w:r>
            <w:r w:rsidR="002E4963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D64A96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príslušným Plánom vodohospodárskeho manažmentu povodia</w:t>
            </w:r>
            <w:bookmarkStart w:id="0" w:name="_GoBack"/>
            <w:bookmarkEnd w:id="0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53E0" w14:textId="5464594B" w:rsidR="002E4963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B895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D771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7DBF" w:rsidRPr="00051F94" w14:paraId="5314B980" w14:textId="77777777" w:rsidTr="007338EA">
        <w:trPr>
          <w:trHeight w:val="18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767E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8B87" w14:textId="0825F702" w:rsidR="002E4963" w:rsidRPr="00051F94" w:rsidRDefault="003176F3" w:rsidP="007338EA">
            <w:pPr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1.5</w:t>
            </w:r>
            <w:r w:rsidR="002E4963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 Súlad projektu výstavby kanalizačných sietí a budovania a rekonštrukcie ČOV s podmienkami IROP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8605" w14:textId="45D6185F" w:rsidR="002E4963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4EB4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FD8D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7DBF" w:rsidRPr="00051F94" w14:paraId="686FF613" w14:textId="77777777" w:rsidTr="007338EA">
        <w:trPr>
          <w:trHeight w:val="19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54F1" w14:textId="77777777" w:rsidR="002E4963" w:rsidRPr="00051F94" w:rsidRDefault="002E4963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7B8A" w14:textId="12B56E8A" w:rsidR="002E4963" w:rsidRPr="00051F94" w:rsidRDefault="003176F3" w:rsidP="007338EA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  <w:r w:rsidR="002E4963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Súlad projektu budovania nových vodárenských zdrojov s podmienkami IROP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3CBE" w14:textId="4587AA0F" w:rsidR="002E4963" w:rsidRPr="00051F94" w:rsidRDefault="00FC0A72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162C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64F6" w14:textId="77777777" w:rsidR="002E4963" w:rsidRPr="00051F94" w:rsidRDefault="002E4963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7DBF" w:rsidRPr="00051F94" w14:paraId="1FC89541" w14:textId="77777777" w:rsidTr="007338EA">
        <w:trPr>
          <w:trHeight w:val="19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4C6F" w14:textId="77777777" w:rsidR="00783D8E" w:rsidRPr="00051F94" w:rsidRDefault="00783D8E" w:rsidP="007338E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11B9" w14:textId="21F74EF4" w:rsidR="00783D8E" w:rsidRPr="00051F94" w:rsidRDefault="003176F3" w:rsidP="00401DA3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1.7</w:t>
            </w:r>
            <w:r w:rsidR="00783D8E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251FCA" w:rsidRPr="00051F94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integrovaným operáciám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A00D" w14:textId="27D0B343" w:rsidR="00783D8E" w:rsidRPr="00051F94" w:rsidRDefault="00783D8E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F541" w14:textId="68D15759" w:rsidR="00783D8E" w:rsidRPr="00051F94" w:rsidRDefault="00783D8E" w:rsidP="00251FC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 w:rsidR="002302BA"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92FC" w14:textId="1C4BC642" w:rsidR="00783D8E" w:rsidRPr="00051F94" w:rsidRDefault="002302BA" w:rsidP="007338EA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B5BB8" w:rsidRPr="00051F94" w14:paraId="7CF249B1" w14:textId="77777777" w:rsidTr="007338EA">
        <w:trPr>
          <w:trHeight w:val="19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584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5C5A" w14:textId="7B5F6521" w:rsidR="002B5BB8" w:rsidRPr="007B1E87" w:rsidRDefault="002B5BB8" w:rsidP="002B5BB8">
            <w:pPr>
              <w:tabs>
                <w:tab w:val="left" w:pos="1560"/>
              </w:tabs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1.8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A28A" w14:textId="3FA0E76E" w:rsidR="002B5BB8" w:rsidRPr="00F50102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6AAA" w14:textId="577E275E" w:rsidR="002B5BB8" w:rsidRPr="002B5BB8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7188A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 w:rsidR="00744CDB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D021" w14:textId="630D9968" w:rsidR="002B5BB8" w:rsidRPr="002B5BB8" w:rsidRDefault="00744CDB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2B5BB8" w:rsidRPr="00051F94" w14:paraId="3E1C3884" w14:textId="77777777" w:rsidTr="007338EA">
        <w:trPr>
          <w:trHeight w:val="18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2666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7A0DD551" w14:textId="68CDF7F7" w:rsidR="002B5BB8" w:rsidRPr="00051F94" w:rsidRDefault="002B5BB8" w:rsidP="002B5BB8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FBD8274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4428A10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B74D46" w14:textId="24E84A2D" w:rsidR="002B5BB8" w:rsidRPr="002B5BB8" w:rsidRDefault="00744CDB" w:rsidP="002B5BB8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9</w:t>
            </w:r>
          </w:p>
        </w:tc>
      </w:tr>
      <w:tr w:rsidR="002B5BB8" w:rsidRPr="00051F94" w14:paraId="04FBBDC4" w14:textId="77777777" w:rsidTr="007338EA">
        <w:trPr>
          <w:trHeight w:val="135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B101BC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64B6" w14:textId="77777777" w:rsidR="002B5BB8" w:rsidRPr="00051F94" w:rsidRDefault="002B5BB8" w:rsidP="002B5BB8">
            <w:pPr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2.1. Vhodnosť a prepojenosť navrhovaných aktivít projektu vo vzťahu k východiskovej situácii a k stanoveným cieľom projektu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64AB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EA0F" w14:textId="730CC6B5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17B2" w14:textId="1643C074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B5BB8" w:rsidRPr="00051F94" w14:paraId="7027BB56" w14:textId="77777777" w:rsidTr="007338EA">
        <w:trPr>
          <w:trHeight w:val="207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C139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8A51" w14:textId="40AE9C51" w:rsidR="002B5BB8" w:rsidRPr="00051F94" w:rsidRDefault="002B5BB8" w:rsidP="002B5BB8">
            <w:pPr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2.2. Posúdenie vhodnosti navrhovaných aktivít z vecného a časového hľadiska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FA66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0501" w14:textId="15B5BFDA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D973" w14:textId="2C05215D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B5BB8" w:rsidRPr="00051F94" w14:paraId="00EA8796" w14:textId="77777777" w:rsidTr="007338EA">
        <w:trPr>
          <w:trHeight w:val="176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B2AD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67FF" w14:textId="77777777" w:rsidR="002B5BB8" w:rsidRPr="00051F94" w:rsidRDefault="002B5BB8" w:rsidP="002B5BB8">
            <w:pPr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2.3 Posúdenie primeranosti a reálnosti plánovaných hodnôt merateľných ukazovateľov s ohľadom na časové, finančné a vecné hľadisko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709C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FBBE" w14:textId="7103D863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9785" w14:textId="6675B5A8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2B5BB8" w:rsidRPr="00051F94" w14:paraId="15DD2D6A" w14:textId="77777777" w:rsidTr="007338EA">
        <w:trPr>
          <w:trHeight w:val="24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36CC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F784" w14:textId="0A8F6A02" w:rsidR="002B5BB8" w:rsidRPr="00051F94" w:rsidRDefault="002B5BB8" w:rsidP="002B5BB8">
            <w:pPr>
              <w:ind w:left="317" w:hanging="317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2.4 SWOT analýza projektu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6C3A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CEC6" w14:textId="4150C2AC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7CBC" w14:textId="04192338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B5BB8" w:rsidRPr="00051F94" w14:paraId="3ED67609" w14:textId="77777777" w:rsidTr="007338EA">
        <w:trPr>
          <w:trHeight w:val="18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EB4F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A07318E" w14:textId="05AFA440" w:rsidR="002B5BB8" w:rsidRPr="00051F94" w:rsidRDefault="002B5BB8" w:rsidP="002B5BB8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104F817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6AE6C95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88955B" w14:textId="41F749E8" w:rsidR="002B5BB8" w:rsidRPr="00051F94" w:rsidRDefault="002B5BB8" w:rsidP="002B5BB8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17</w:t>
            </w:r>
          </w:p>
        </w:tc>
      </w:tr>
      <w:tr w:rsidR="002B5BB8" w:rsidRPr="00051F94" w14:paraId="38720189" w14:textId="77777777" w:rsidTr="007338EA">
        <w:trPr>
          <w:trHeight w:val="18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7B1707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46A1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3.1 Posúdenie administratívnych a odborných kapacít na riadenie a realizáciu projektu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5538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312A" w14:textId="716A568D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00B5" w14:textId="37376B0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B5BB8" w:rsidRPr="00051F94" w14:paraId="0C4F7877" w14:textId="77777777" w:rsidTr="007338EA">
        <w:trPr>
          <w:trHeight w:val="22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C030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95A1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3.2 Posúdenie prevádzkovej  a technickej udržateľnosti projektu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1110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68E9" w14:textId="1FA7AA82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 1;2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5ACF" w14:textId="16EB2801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B5BB8" w:rsidRPr="00051F94" w14:paraId="250C1F90" w14:textId="77777777" w:rsidTr="007338EA">
        <w:trPr>
          <w:trHeight w:val="16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28B9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CA02396" w14:textId="3E3CD00A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6821E4B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D0CCD5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4ED9F4" w14:textId="4A6C0473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</w:t>
            </w:r>
          </w:p>
        </w:tc>
      </w:tr>
      <w:tr w:rsidR="002B5BB8" w:rsidRPr="00051F94" w14:paraId="6BF86975" w14:textId="77777777" w:rsidTr="003524F8">
        <w:trPr>
          <w:trHeight w:val="315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239A72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FE07" w14:textId="50FC61CE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4.1 Vecná oprávnenosť výdavkov projektu - obsahová oprávnenosť, účelnosť a účinnosť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1AA0" w14:textId="7D40EE7A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3BEC" w14:textId="3F09CBEF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B7BC" w14:textId="75E17559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B5BB8" w:rsidRPr="00051F94" w14:paraId="17646687" w14:textId="77777777" w:rsidTr="003524F8">
        <w:trPr>
          <w:trHeight w:val="27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9641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130D" w14:textId="655FDC41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4.2 Efektívnosť a hospodárnosť výdavkov projektu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8F4" w14:textId="29918C72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CC99" w14:textId="4FC5BB4B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001F" w14:textId="6FAF09D4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B5BB8" w:rsidRPr="00051F94" w14:paraId="568BC572" w14:textId="77777777" w:rsidTr="003524F8">
        <w:trPr>
          <w:trHeight w:val="294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048A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DE26" w14:textId="29190533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4.3 Finančná udržateľnosť projektu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449B" w14:textId="3FE940AE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AEFA" w14:textId="7263342A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56EF" w14:textId="62D5311B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B5BB8" w:rsidRPr="00051F94" w14:paraId="2CC02F42" w14:textId="77777777" w:rsidTr="003524F8">
        <w:trPr>
          <w:trHeight w:val="284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9036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53BE" w14:textId="27C9D0C5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4.4 Miera vecnej oprávnenosti výdavkov projektu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57A0" w14:textId="045AE7FE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400F" w14:textId="2E82A742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0;2;4;6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5C5D" w14:textId="65575A5A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2B5BB8" w:rsidRPr="00051F94" w14:paraId="39CCEA14" w14:textId="77777777" w:rsidTr="003524F8">
        <w:trPr>
          <w:trHeight w:val="284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6B6D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94F" w14:textId="6332248E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4.5 Štruktúra a správnosť rozpočtu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4D4" w14:textId="15B15114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EDA4" w14:textId="4E80188C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AA9C" w14:textId="233A9A1D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2B5BB8" w:rsidRPr="00051F94" w14:paraId="346C377C" w14:textId="77777777" w:rsidTr="00CA3D3A">
        <w:trPr>
          <w:trHeight w:val="219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B7CA" w14:textId="77777777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5549ECA" w14:textId="4C7636D8" w:rsidR="002B5BB8" w:rsidRPr="00051F94" w:rsidRDefault="002B5BB8" w:rsidP="002B5BB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A5CA67D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6BF3F5" w14:textId="77777777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7AE33B" w14:textId="4C13C8E2" w:rsidR="002B5BB8" w:rsidRPr="00051F94" w:rsidRDefault="002B5BB8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10</w:t>
            </w:r>
          </w:p>
        </w:tc>
      </w:tr>
      <w:tr w:rsidR="00E1137F" w:rsidRPr="00051F94" w14:paraId="09BABC54" w14:textId="77777777" w:rsidTr="00E1137F">
        <w:tc>
          <w:tcPr>
            <w:tcW w:w="3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34919162" w14:textId="46443422" w:rsidR="00E1137F" w:rsidRPr="00E1137F" w:rsidRDefault="00E1137F" w:rsidP="002B5BB8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E1137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 za všetky hodnotené oblasti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F8321E9" w14:textId="77777777" w:rsidR="00E1137F" w:rsidRPr="00051F94" w:rsidRDefault="00E1137F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74B8C228" w14:textId="77777777" w:rsidR="00E1137F" w:rsidRPr="00051F94" w:rsidRDefault="00E1137F" w:rsidP="002B5BB8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FD628D" w14:textId="2A505820" w:rsidR="00E1137F" w:rsidRPr="002B5BB8" w:rsidRDefault="00E1137F" w:rsidP="00744CDB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40</w:t>
            </w:r>
          </w:p>
        </w:tc>
      </w:tr>
    </w:tbl>
    <w:p w14:paraId="5BD794CB" w14:textId="67517AFF" w:rsidR="002E4963" w:rsidRPr="002B5BB8" w:rsidRDefault="002E4963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051F94">
        <w:rPr>
          <w:rFonts w:ascii="Arial" w:hAnsi="Arial" w:cs="Arial"/>
          <w:b/>
          <w:color w:val="000000" w:themeColor="text1"/>
          <w:sz w:val="19"/>
          <w:szCs w:val="19"/>
        </w:rPr>
        <w:t>Na splnenie kritérií odborného hodnotenia musia byť vyhodnotené kladne všetky vylučujúce hodnotiace kritériá a zároveň musí byť splnená minimálna hranica pri bodovaných hodnotiacich kritériách, ktorá predstavuje 60% z maximálneho počtu bodov bodovanýc</w:t>
      </w:r>
      <w:r w:rsidR="00783D8E" w:rsidRPr="00051F94">
        <w:rPr>
          <w:rFonts w:ascii="Arial" w:hAnsi="Arial" w:cs="Arial"/>
          <w:b/>
          <w:color w:val="000000" w:themeColor="text1"/>
          <w:sz w:val="19"/>
          <w:szCs w:val="19"/>
        </w:rPr>
        <w:t>h hodnotiacich kritérií, t.j. 2</w:t>
      </w:r>
      <w:r w:rsidR="00744CDB">
        <w:rPr>
          <w:rFonts w:ascii="Arial" w:hAnsi="Arial" w:cs="Arial"/>
          <w:b/>
          <w:color w:val="000000" w:themeColor="text1"/>
          <w:sz w:val="19"/>
          <w:szCs w:val="19"/>
        </w:rPr>
        <w:t>4</w:t>
      </w:r>
      <w:r w:rsidRPr="002B5BB8">
        <w:rPr>
          <w:rFonts w:ascii="Arial" w:hAnsi="Arial" w:cs="Arial"/>
          <w:b/>
          <w:color w:val="000000" w:themeColor="text1"/>
          <w:sz w:val="19"/>
          <w:szCs w:val="19"/>
        </w:rPr>
        <w:t xml:space="preserve"> bodov.</w:t>
      </w:r>
    </w:p>
    <w:p w14:paraId="6E6E3BBE" w14:textId="77777777" w:rsidR="00FD4A56" w:rsidRPr="007B1E87" w:rsidRDefault="00FD4A56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37DBDF85" w14:textId="77777777" w:rsidR="00F5144C" w:rsidRPr="00F50102" w:rsidRDefault="00F5144C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sectPr w:rsidR="00F5144C" w:rsidRPr="00F50102" w:rsidSect="002009BB">
      <w:foot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2D5FC" w14:textId="77777777" w:rsidR="0019396E" w:rsidRDefault="0019396E" w:rsidP="006447D5">
      <w:pPr>
        <w:spacing w:after="0" w:line="240" w:lineRule="auto"/>
      </w:pPr>
      <w:r>
        <w:separator/>
      </w:r>
    </w:p>
  </w:endnote>
  <w:endnote w:type="continuationSeparator" w:id="0">
    <w:p w14:paraId="07C1CFA3" w14:textId="77777777" w:rsidR="0019396E" w:rsidRDefault="0019396E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237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6FF53" w14:textId="64867DC2" w:rsidR="00604B18" w:rsidRDefault="00604B1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9B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DC9C8C3" w14:textId="77777777" w:rsidR="00604B18" w:rsidRDefault="00604B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8F0E" w14:textId="77777777" w:rsidR="0019396E" w:rsidRDefault="0019396E" w:rsidP="006447D5">
      <w:pPr>
        <w:spacing w:after="0" w:line="240" w:lineRule="auto"/>
      </w:pPr>
      <w:r>
        <w:separator/>
      </w:r>
    </w:p>
  </w:footnote>
  <w:footnote w:type="continuationSeparator" w:id="0">
    <w:p w14:paraId="79EFB993" w14:textId="77777777" w:rsidR="0019396E" w:rsidRDefault="0019396E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5359C" w14:textId="77777777" w:rsidR="002009BB" w:rsidRPr="002009BB" w:rsidRDefault="002009BB" w:rsidP="002009BB">
    <w:pPr>
      <w:pStyle w:val="Hlavika"/>
      <w:tabs>
        <w:tab w:val="left" w:pos="1977"/>
      </w:tabs>
      <w:ind w:firstLine="1977"/>
      <w:rPr>
        <w:rFonts w:ascii="Arial" w:hAnsi="Arial" w:cs="Arial"/>
        <w:sz w:val="16"/>
        <w:szCs w:val="16"/>
      </w:rPr>
    </w:pPr>
    <w:r w:rsidRPr="002009BB">
      <w:rPr>
        <w:rFonts w:ascii="Arial" w:hAnsi="Arial" w:cs="Arial"/>
        <w:noProof/>
        <w:sz w:val="16"/>
        <w:szCs w:val="16"/>
        <w:lang w:eastAsia="sk-SK"/>
      </w:rPr>
      <w:drawing>
        <wp:anchor distT="0" distB="0" distL="114300" distR="114300" simplePos="0" relativeHeight="251657728" behindDoc="1" locked="0" layoutInCell="1" allowOverlap="1" wp14:anchorId="207B8B0D" wp14:editId="3E922DE4">
          <wp:simplePos x="0" y="0"/>
          <wp:positionH relativeFrom="column">
            <wp:posOffset>6727190</wp:posOffset>
          </wp:positionH>
          <wp:positionV relativeFrom="paragraph">
            <wp:posOffset>-106680</wp:posOffset>
          </wp:positionV>
          <wp:extent cx="1647825" cy="457200"/>
          <wp:effectExtent l="0" t="0" r="9525" b="0"/>
          <wp:wrapNone/>
          <wp:docPr id="1" name="Obrázok 1" descr="http://www.opotravinach.sk/app/webroot/files/talk_files/MP_web%20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opotravinach.sk/app/webroot/files/talk_files/MP_web%20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3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9BB">
      <w:rPr>
        <w:rFonts w:ascii="Arial" w:hAnsi="Arial" w:cs="Arial"/>
        <w:noProof/>
        <w:sz w:val="16"/>
        <w:szCs w:val="16"/>
        <w:lang w:eastAsia="sk-SK"/>
      </w:rPr>
      <w:drawing>
        <wp:anchor distT="0" distB="0" distL="114300" distR="114300" simplePos="0" relativeHeight="251650560" behindDoc="0" locked="0" layoutInCell="1" allowOverlap="1" wp14:anchorId="08F75833" wp14:editId="13FF643D">
          <wp:simplePos x="0" y="0"/>
          <wp:positionH relativeFrom="column">
            <wp:posOffset>522605</wp:posOffset>
          </wp:positionH>
          <wp:positionV relativeFrom="paragraph">
            <wp:posOffset>-81280</wp:posOffset>
          </wp:positionV>
          <wp:extent cx="621665" cy="431800"/>
          <wp:effectExtent l="0" t="0" r="6985" b="635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9BB">
      <w:rPr>
        <w:rFonts w:ascii="Arial" w:hAnsi="Arial" w:cs="Arial"/>
        <w:sz w:val="16"/>
        <w:szCs w:val="16"/>
      </w:rPr>
      <w:t>Európska únia</w:t>
    </w:r>
  </w:p>
  <w:p w14:paraId="14565899" w14:textId="77777777" w:rsidR="002009BB" w:rsidRPr="002009BB" w:rsidRDefault="002009BB" w:rsidP="002009BB">
    <w:pPr>
      <w:pStyle w:val="Hlavika"/>
      <w:tabs>
        <w:tab w:val="left" w:pos="1977"/>
      </w:tabs>
      <w:rPr>
        <w:rFonts w:ascii="Arial" w:hAnsi="Arial" w:cs="Arial"/>
        <w:sz w:val="16"/>
        <w:szCs w:val="16"/>
      </w:rPr>
    </w:pPr>
    <w:r w:rsidRPr="002009BB">
      <w:rPr>
        <w:rFonts w:ascii="Arial" w:hAnsi="Arial" w:cs="Arial"/>
        <w:sz w:val="16"/>
        <w:szCs w:val="16"/>
      </w:rPr>
      <w:tab/>
      <w:t>Európsky fond pre Regionálny rozvoj</w:t>
    </w:r>
  </w:p>
  <w:p w14:paraId="4F919E87" w14:textId="77777777" w:rsidR="002009BB" w:rsidRPr="002009BB" w:rsidRDefault="002009BB" w:rsidP="002009BB">
    <w:pPr>
      <w:pStyle w:val="Hlavika"/>
      <w:tabs>
        <w:tab w:val="left" w:pos="1977"/>
      </w:tabs>
      <w:rPr>
        <w:rFonts w:ascii="Arial" w:hAnsi="Arial" w:cs="Arial"/>
        <w:sz w:val="16"/>
        <w:szCs w:val="16"/>
      </w:rPr>
    </w:pPr>
    <w:r w:rsidRPr="002009BB">
      <w:rPr>
        <w:rFonts w:ascii="Arial" w:hAnsi="Arial" w:cs="Arial"/>
        <w:sz w:val="16"/>
        <w:szCs w:val="16"/>
      </w:rPr>
      <w:tab/>
      <w:t>Integrovaný regionálny operačný program</w:t>
    </w:r>
  </w:p>
  <w:p w14:paraId="7242C9D9" w14:textId="77777777" w:rsidR="002009BB" w:rsidRDefault="002009B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781B"/>
    <w:multiLevelType w:val="hybridMultilevel"/>
    <w:tmpl w:val="EA6E0D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596531"/>
    <w:multiLevelType w:val="hybridMultilevel"/>
    <w:tmpl w:val="CC44C64C"/>
    <w:lvl w:ilvl="0" w:tplc="9EC20F2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D6F60"/>
    <w:multiLevelType w:val="hybridMultilevel"/>
    <w:tmpl w:val="FBBE32C6"/>
    <w:lvl w:ilvl="0" w:tplc="EBA26A6A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A2FF8"/>
    <w:multiLevelType w:val="hybridMultilevel"/>
    <w:tmpl w:val="F4921C8C"/>
    <w:lvl w:ilvl="0" w:tplc="500EAB92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2614E"/>
    <w:multiLevelType w:val="hybridMultilevel"/>
    <w:tmpl w:val="62B416A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24"/>
  </w:num>
  <w:num w:numId="5">
    <w:abstractNumId w:val="25"/>
  </w:num>
  <w:num w:numId="6">
    <w:abstractNumId w:val="7"/>
  </w:num>
  <w:num w:numId="7">
    <w:abstractNumId w:val="22"/>
  </w:num>
  <w:num w:numId="8">
    <w:abstractNumId w:val="9"/>
  </w:num>
  <w:num w:numId="9">
    <w:abstractNumId w:val="10"/>
  </w:num>
  <w:num w:numId="10">
    <w:abstractNumId w:val="5"/>
  </w:num>
  <w:num w:numId="11">
    <w:abstractNumId w:val="16"/>
  </w:num>
  <w:num w:numId="12">
    <w:abstractNumId w:val="14"/>
  </w:num>
  <w:num w:numId="13">
    <w:abstractNumId w:val="21"/>
  </w:num>
  <w:num w:numId="14">
    <w:abstractNumId w:val="19"/>
  </w:num>
  <w:num w:numId="15">
    <w:abstractNumId w:val="12"/>
  </w:num>
  <w:num w:numId="16">
    <w:abstractNumId w:val="8"/>
  </w:num>
  <w:num w:numId="17">
    <w:abstractNumId w:val="17"/>
  </w:num>
  <w:num w:numId="18">
    <w:abstractNumId w:val="23"/>
  </w:num>
  <w:num w:numId="19">
    <w:abstractNumId w:val="20"/>
  </w:num>
  <w:num w:numId="20">
    <w:abstractNumId w:val="2"/>
  </w:num>
  <w:num w:numId="21">
    <w:abstractNumId w:val="1"/>
  </w:num>
  <w:num w:numId="22">
    <w:abstractNumId w:val="26"/>
  </w:num>
  <w:num w:numId="23">
    <w:abstractNumId w:val="3"/>
  </w:num>
  <w:num w:numId="24">
    <w:abstractNumId w:val="6"/>
  </w:num>
  <w:num w:numId="25">
    <w:abstractNumId w:val="27"/>
  </w:num>
  <w:num w:numId="26">
    <w:abstractNumId w:val="11"/>
  </w:num>
  <w:num w:numId="27">
    <w:abstractNumId w:val="18"/>
  </w:num>
  <w:num w:numId="28">
    <w:abstractNumId w:val="1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79A8"/>
    <w:rsid w:val="0001588A"/>
    <w:rsid w:val="0001660D"/>
    <w:rsid w:val="00032EAB"/>
    <w:rsid w:val="00044CAC"/>
    <w:rsid w:val="000453CC"/>
    <w:rsid w:val="00045E55"/>
    <w:rsid w:val="00051F94"/>
    <w:rsid w:val="00053DF4"/>
    <w:rsid w:val="00055A2D"/>
    <w:rsid w:val="000579E5"/>
    <w:rsid w:val="0006402A"/>
    <w:rsid w:val="00066478"/>
    <w:rsid w:val="00071E45"/>
    <w:rsid w:val="0007302B"/>
    <w:rsid w:val="00073386"/>
    <w:rsid w:val="000855A1"/>
    <w:rsid w:val="0008777E"/>
    <w:rsid w:val="000944CC"/>
    <w:rsid w:val="000956D6"/>
    <w:rsid w:val="00097647"/>
    <w:rsid w:val="000A74C2"/>
    <w:rsid w:val="000B046D"/>
    <w:rsid w:val="000B1F02"/>
    <w:rsid w:val="000B2DE7"/>
    <w:rsid w:val="000C0810"/>
    <w:rsid w:val="000C159E"/>
    <w:rsid w:val="000D28B0"/>
    <w:rsid w:val="000D2EAB"/>
    <w:rsid w:val="000E1CF5"/>
    <w:rsid w:val="000F1BE4"/>
    <w:rsid w:val="000F234C"/>
    <w:rsid w:val="00100041"/>
    <w:rsid w:val="00100DE1"/>
    <w:rsid w:val="00101455"/>
    <w:rsid w:val="00107DC2"/>
    <w:rsid w:val="00110CF7"/>
    <w:rsid w:val="00112DDE"/>
    <w:rsid w:val="001136EA"/>
    <w:rsid w:val="00116456"/>
    <w:rsid w:val="0011689D"/>
    <w:rsid w:val="00120768"/>
    <w:rsid w:val="001266A0"/>
    <w:rsid w:val="0012785C"/>
    <w:rsid w:val="0013048D"/>
    <w:rsid w:val="0013600D"/>
    <w:rsid w:val="00142FD9"/>
    <w:rsid w:val="00145484"/>
    <w:rsid w:val="00147F20"/>
    <w:rsid w:val="001502C2"/>
    <w:rsid w:val="00153653"/>
    <w:rsid w:val="001540C0"/>
    <w:rsid w:val="001700F8"/>
    <w:rsid w:val="001714EF"/>
    <w:rsid w:val="0017587A"/>
    <w:rsid w:val="001769BC"/>
    <w:rsid w:val="0018641E"/>
    <w:rsid w:val="00187338"/>
    <w:rsid w:val="00192A08"/>
    <w:rsid w:val="0019396E"/>
    <w:rsid w:val="001A2A68"/>
    <w:rsid w:val="001A7E0A"/>
    <w:rsid w:val="001B3448"/>
    <w:rsid w:val="001D0B8B"/>
    <w:rsid w:val="001D1854"/>
    <w:rsid w:val="001D1A22"/>
    <w:rsid w:val="001E10C6"/>
    <w:rsid w:val="001E6A35"/>
    <w:rsid w:val="001E7ECD"/>
    <w:rsid w:val="001F0938"/>
    <w:rsid w:val="001F1942"/>
    <w:rsid w:val="001F28D7"/>
    <w:rsid w:val="002009BB"/>
    <w:rsid w:val="00204A88"/>
    <w:rsid w:val="00206A9C"/>
    <w:rsid w:val="00207C86"/>
    <w:rsid w:val="00226709"/>
    <w:rsid w:val="002302BA"/>
    <w:rsid w:val="00237713"/>
    <w:rsid w:val="00240572"/>
    <w:rsid w:val="00241F1A"/>
    <w:rsid w:val="00243ABB"/>
    <w:rsid w:val="00251FCA"/>
    <w:rsid w:val="00253FE5"/>
    <w:rsid w:val="00272F01"/>
    <w:rsid w:val="00275648"/>
    <w:rsid w:val="00276305"/>
    <w:rsid w:val="00281453"/>
    <w:rsid w:val="0028704D"/>
    <w:rsid w:val="00296519"/>
    <w:rsid w:val="0029721B"/>
    <w:rsid w:val="00297E2A"/>
    <w:rsid w:val="002A0F60"/>
    <w:rsid w:val="002B3A18"/>
    <w:rsid w:val="002B5816"/>
    <w:rsid w:val="002B5BB8"/>
    <w:rsid w:val="002B7238"/>
    <w:rsid w:val="002C5339"/>
    <w:rsid w:val="002D0E71"/>
    <w:rsid w:val="002D30EF"/>
    <w:rsid w:val="002D5412"/>
    <w:rsid w:val="002E24F1"/>
    <w:rsid w:val="002E4963"/>
    <w:rsid w:val="002E4D51"/>
    <w:rsid w:val="002E7672"/>
    <w:rsid w:val="002F07B1"/>
    <w:rsid w:val="002F40AF"/>
    <w:rsid w:val="002F64EB"/>
    <w:rsid w:val="003055A4"/>
    <w:rsid w:val="00307EB6"/>
    <w:rsid w:val="0031140C"/>
    <w:rsid w:val="00313578"/>
    <w:rsid w:val="003176F3"/>
    <w:rsid w:val="0032086A"/>
    <w:rsid w:val="003269E1"/>
    <w:rsid w:val="003320FE"/>
    <w:rsid w:val="0033634B"/>
    <w:rsid w:val="00336872"/>
    <w:rsid w:val="00337110"/>
    <w:rsid w:val="0033774A"/>
    <w:rsid w:val="00345FB6"/>
    <w:rsid w:val="003524F8"/>
    <w:rsid w:val="003579D6"/>
    <w:rsid w:val="003627FB"/>
    <w:rsid w:val="003734EE"/>
    <w:rsid w:val="00380C46"/>
    <w:rsid w:val="003827E3"/>
    <w:rsid w:val="00384EE4"/>
    <w:rsid w:val="0038512E"/>
    <w:rsid w:val="00393215"/>
    <w:rsid w:val="00393755"/>
    <w:rsid w:val="00393DD9"/>
    <w:rsid w:val="003940A4"/>
    <w:rsid w:val="00396940"/>
    <w:rsid w:val="003B1265"/>
    <w:rsid w:val="003B32AA"/>
    <w:rsid w:val="003B713A"/>
    <w:rsid w:val="003C19C2"/>
    <w:rsid w:val="003C1E0A"/>
    <w:rsid w:val="003C3AA4"/>
    <w:rsid w:val="003C4EF8"/>
    <w:rsid w:val="003C52DC"/>
    <w:rsid w:val="003C7A2D"/>
    <w:rsid w:val="003D653C"/>
    <w:rsid w:val="003E5082"/>
    <w:rsid w:val="003F28D3"/>
    <w:rsid w:val="003F2E32"/>
    <w:rsid w:val="003F57FB"/>
    <w:rsid w:val="003F749D"/>
    <w:rsid w:val="00401DA3"/>
    <w:rsid w:val="00404055"/>
    <w:rsid w:val="00407671"/>
    <w:rsid w:val="00412C46"/>
    <w:rsid w:val="00412FA0"/>
    <w:rsid w:val="00413E8F"/>
    <w:rsid w:val="004207A1"/>
    <w:rsid w:val="00420E07"/>
    <w:rsid w:val="00426285"/>
    <w:rsid w:val="00440986"/>
    <w:rsid w:val="00442D84"/>
    <w:rsid w:val="00444FCC"/>
    <w:rsid w:val="0044548E"/>
    <w:rsid w:val="00445684"/>
    <w:rsid w:val="00445704"/>
    <w:rsid w:val="00447D47"/>
    <w:rsid w:val="00450852"/>
    <w:rsid w:val="00453E6F"/>
    <w:rsid w:val="00457071"/>
    <w:rsid w:val="00461E72"/>
    <w:rsid w:val="00465FAE"/>
    <w:rsid w:val="00470E60"/>
    <w:rsid w:val="00480D9F"/>
    <w:rsid w:val="00486B4D"/>
    <w:rsid w:val="00490007"/>
    <w:rsid w:val="00492C48"/>
    <w:rsid w:val="00493914"/>
    <w:rsid w:val="004955B0"/>
    <w:rsid w:val="004A6A74"/>
    <w:rsid w:val="004A71A8"/>
    <w:rsid w:val="004B5519"/>
    <w:rsid w:val="004B5B76"/>
    <w:rsid w:val="004B756D"/>
    <w:rsid w:val="004C771A"/>
    <w:rsid w:val="004D222E"/>
    <w:rsid w:val="004E0FE2"/>
    <w:rsid w:val="004E27AC"/>
    <w:rsid w:val="004E4B98"/>
    <w:rsid w:val="004E6F28"/>
    <w:rsid w:val="004F1422"/>
    <w:rsid w:val="004F40BE"/>
    <w:rsid w:val="004F4B9F"/>
    <w:rsid w:val="00506E04"/>
    <w:rsid w:val="0051226C"/>
    <w:rsid w:val="0051305A"/>
    <w:rsid w:val="005268B1"/>
    <w:rsid w:val="005273A4"/>
    <w:rsid w:val="00530BAE"/>
    <w:rsid w:val="00533EDA"/>
    <w:rsid w:val="0054149D"/>
    <w:rsid w:val="0054484D"/>
    <w:rsid w:val="005453CA"/>
    <w:rsid w:val="005712CD"/>
    <w:rsid w:val="0057652E"/>
    <w:rsid w:val="00576852"/>
    <w:rsid w:val="00581A45"/>
    <w:rsid w:val="005851BD"/>
    <w:rsid w:val="00585CBF"/>
    <w:rsid w:val="0059512E"/>
    <w:rsid w:val="00595B20"/>
    <w:rsid w:val="0059761F"/>
    <w:rsid w:val="005A2A5C"/>
    <w:rsid w:val="005B1EA3"/>
    <w:rsid w:val="005B3219"/>
    <w:rsid w:val="005B5477"/>
    <w:rsid w:val="005B680F"/>
    <w:rsid w:val="005C0D61"/>
    <w:rsid w:val="005C1D17"/>
    <w:rsid w:val="005C3B0B"/>
    <w:rsid w:val="005D281E"/>
    <w:rsid w:val="005E5F54"/>
    <w:rsid w:val="005F092D"/>
    <w:rsid w:val="005F10A6"/>
    <w:rsid w:val="005F7141"/>
    <w:rsid w:val="005F746A"/>
    <w:rsid w:val="00604B18"/>
    <w:rsid w:val="006112F9"/>
    <w:rsid w:val="00611A9C"/>
    <w:rsid w:val="0061310C"/>
    <w:rsid w:val="00622C20"/>
    <w:rsid w:val="00626A71"/>
    <w:rsid w:val="00633BC1"/>
    <w:rsid w:val="00634610"/>
    <w:rsid w:val="006436E8"/>
    <w:rsid w:val="006447D5"/>
    <w:rsid w:val="00653508"/>
    <w:rsid w:val="00656A72"/>
    <w:rsid w:val="00663652"/>
    <w:rsid w:val="006639C1"/>
    <w:rsid w:val="00677B16"/>
    <w:rsid w:val="00677DBF"/>
    <w:rsid w:val="006827B8"/>
    <w:rsid w:val="00695730"/>
    <w:rsid w:val="00696B5E"/>
    <w:rsid w:val="006A373F"/>
    <w:rsid w:val="006A5B38"/>
    <w:rsid w:val="006B0F82"/>
    <w:rsid w:val="006B396B"/>
    <w:rsid w:val="006B3FDE"/>
    <w:rsid w:val="006B58E1"/>
    <w:rsid w:val="006C0E70"/>
    <w:rsid w:val="006C38A1"/>
    <w:rsid w:val="006C6D7D"/>
    <w:rsid w:val="006F242F"/>
    <w:rsid w:val="006F6E4B"/>
    <w:rsid w:val="00715F66"/>
    <w:rsid w:val="00724530"/>
    <w:rsid w:val="007338EA"/>
    <w:rsid w:val="00736B1F"/>
    <w:rsid w:val="00737FE6"/>
    <w:rsid w:val="00744CDB"/>
    <w:rsid w:val="00755265"/>
    <w:rsid w:val="007619CF"/>
    <w:rsid w:val="00767508"/>
    <w:rsid w:val="00771679"/>
    <w:rsid w:val="00776E20"/>
    <w:rsid w:val="00781E9F"/>
    <w:rsid w:val="00783D8E"/>
    <w:rsid w:val="0079750A"/>
    <w:rsid w:val="007A21D8"/>
    <w:rsid w:val="007A3934"/>
    <w:rsid w:val="007A54E1"/>
    <w:rsid w:val="007A5E94"/>
    <w:rsid w:val="007B1085"/>
    <w:rsid w:val="007B1E87"/>
    <w:rsid w:val="007B35EF"/>
    <w:rsid w:val="007B3752"/>
    <w:rsid w:val="007C3BBF"/>
    <w:rsid w:val="007C416E"/>
    <w:rsid w:val="007D006A"/>
    <w:rsid w:val="007D2241"/>
    <w:rsid w:val="007D3215"/>
    <w:rsid w:val="007D4C56"/>
    <w:rsid w:val="007D7311"/>
    <w:rsid w:val="007E0D53"/>
    <w:rsid w:val="007E3599"/>
    <w:rsid w:val="007E5A41"/>
    <w:rsid w:val="007E6F49"/>
    <w:rsid w:val="007F4600"/>
    <w:rsid w:val="007F61C4"/>
    <w:rsid w:val="007F7BB5"/>
    <w:rsid w:val="00805D7F"/>
    <w:rsid w:val="00815F8F"/>
    <w:rsid w:val="00816151"/>
    <w:rsid w:val="00822100"/>
    <w:rsid w:val="00823E50"/>
    <w:rsid w:val="008258C4"/>
    <w:rsid w:val="00827943"/>
    <w:rsid w:val="00830167"/>
    <w:rsid w:val="00834FA7"/>
    <w:rsid w:val="00835BFD"/>
    <w:rsid w:val="00836214"/>
    <w:rsid w:val="00840849"/>
    <w:rsid w:val="00840D78"/>
    <w:rsid w:val="008411C7"/>
    <w:rsid w:val="0084248B"/>
    <w:rsid w:val="0085134A"/>
    <w:rsid w:val="008544DC"/>
    <w:rsid w:val="008571FD"/>
    <w:rsid w:val="0087188A"/>
    <w:rsid w:val="00881404"/>
    <w:rsid w:val="00884B2A"/>
    <w:rsid w:val="008903DF"/>
    <w:rsid w:val="00892C76"/>
    <w:rsid w:val="00894842"/>
    <w:rsid w:val="0089625B"/>
    <w:rsid w:val="008976E0"/>
    <w:rsid w:val="008A1890"/>
    <w:rsid w:val="008A4132"/>
    <w:rsid w:val="008A464F"/>
    <w:rsid w:val="008A57E8"/>
    <w:rsid w:val="008A584C"/>
    <w:rsid w:val="008B5A1A"/>
    <w:rsid w:val="008C045A"/>
    <w:rsid w:val="008C062F"/>
    <w:rsid w:val="008C3491"/>
    <w:rsid w:val="008C6C51"/>
    <w:rsid w:val="008D2056"/>
    <w:rsid w:val="008D495C"/>
    <w:rsid w:val="008D71E2"/>
    <w:rsid w:val="008E03EC"/>
    <w:rsid w:val="008E0E6B"/>
    <w:rsid w:val="008E45F9"/>
    <w:rsid w:val="008F2CA3"/>
    <w:rsid w:val="008F2E6C"/>
    <w:rsid w:val="00901CAF"/>
    <w:rsid w:val="009020AF"/>
    <w:rsid w:val="0090571D"/>
    <w:rsid w:val="009100F3"/>
    <w:rsid w:val="00912DE3"/>
    <w:rsid w:val="00915875"/>
    <w:rsid w:val="00917104"/>
    <w:rsid w:val="009178C1"/>
    <w:rsid w:val="00923003"/>
    <w:rsid w:val="00930A61"/>
    <w:rsid w:val="009316F7"/>
    <w:rsid w:val="00935F63"/>
    <w:rsid w:val="009409BA"/>
    <w:rsid w:val="009436F8"/>
    <w:rsid w:val="00944F6D"/>
    <w:rsid w:val="009472B3"/>
    <w:rsid w:val="00960EA8"/>
    <w:rsid w:val="009620CE"/>
    <w:rsid w:val="00963FE2"/>
    <w:rsid w:val="00965A79"/>
    <w:rsid w:val="00983313"/>
    <w:rsid w:val="009838AC"/>
    <w:rsid w:val="00992DC2"/>
    <w:rsid w:val="0099507A"/>
    <w:rsid w:val="00996561"/>
    <w:rsid w:val="009A00B6"/>
    <w:rsid w:val="009A139E"/>
    <w:rsid w:val="009A31D1"/>
    <w:rsid w:val="009A4784"/>
    <w:rsid w:val="009B3050"/>
    <w:rsid w:val="009B3530"/>
    <w:rsid w:val="009C18D4"/>
    <w:rsid w:val="009C4230"/>
    <w:rsid w:val="009C7BF7"/>
    <w:rsid w:val="009D1264"/>
    <w:rsid w:val="009D3973"/>
    <w:rsid w:val="009D7170"/>
    <w:rsid w:val="009E012D"/>
    <w:rsid w:val="009F522C"/>
    <w:rsid w:val="00A06FFB"/>
    <w:rsid w:val="00A14BDA"/>
    <w:rsid w:val="00A24AAB"/>
    <w:rsid w:val="00A255C3"/>
    <w:rsid w:val="00A2679A"/>
    <w:rsid w:val="00A320B8"/>
    <w:rsid w:val="00A32F68"/>
    <w:rsid w:val="00A36346"/>
    <w:rsid w:val="00A40C38"/>
    <w:rsid w:val="00A44111"/>
    <w:rsid w:val="00A6147C"/>
    <w:rsid w:val="00A62C1E"/>
    <w:rsid w:val="00A65B56"/>
    <w:rsid w:val="00A66D53"/>
    <w:rsid w:val="00A673CB"/>
    <w:rsid w:val="00A71328"/>
    <w:rsid w:val="00A72B82"/>
    <w:rsid w:val="00A74622"/>
    <w:rsid w:val="00A8070D"/>
    <w:rsid w:val="00A80F92"/>
    <w:rsid w:val="00A83F0B"/>
    <w:rsid w:val="00A8557A"/>
    <w:rsid w:val="00A94048"/>
    <w:rsid w:val="00AB1998"/>
    <w:rsid w:val="00AB3156"/>
    <w:rsid w:val="00AB7C6D"/>
    <w:rsid w:val="00AD086A"/>
    <w:rsid w:val="00AD1102"/>
    <w:rsid w:val="00AD30C0"/>
    <w:rsid w:val="00AD3588"/>
    <w:rsid w:val="00AE20AD"/>
    <w:rsid w:val="00AE7306"/>
    <w:rsid w:val="00AE7DE2"/>
    <w:rsid w:val="00AF2463"/>
    <w:rsid w:val="00B002CF"/>
    <w:rsid w:val="00B06AFB"/>
    <w:rsid w:val="00B1361E"/>
    <w:rsid w:val="00B1456D"/>
    <w:rsid w:val="00B15EBC"/>
    <w:rsid w:val="00B166D1"/>
    <w:rsid w:val="00B24997"/>
    <w:rsid w:val="00B253C5"/>
    <w:rsid w:val="00B27BF9"/>
    <w:rsid w:val="00B30383"/>
    <w:rsid w:val="00B34267"/>
    <w:rsid w:val="00B342A2"/>
    <w:rsid w:val="00B351B9"/>
    <w:rsid w:val="00B43EB2"/>
    <w:rsid w:val="00B444EF"/>
    <w:rsid w:val="00B455BE"/>
    <w:rsid w:val="00B47DBF"/>
    <w:rsid w:val="00B51653"/>
    <w:rsid w:val="00B5333E"/>
    <w:rsid w:val="00B54823"/>
    <w:rsid w:val="00B5566B"/>
    <w:rsid w:val="00B55B1D"/>
    <w:rsid w:val="00B60AC2"/>
    <w:rsid w:val="00B6140B"/>
    <w:rsid w:val="00B65175"/>
    <w:rsid w:val="00B7746C"/>
    <w:rsid w:val="00B84148"/>
    <w:rsid w:val="00B8483B"/>
    <w:rsid w:val="00B863A2"/>
    <w:rsid w:val="00B86876"/>
    <w:rsid w:val="00B906A9"/>
    <w:rsid w:val="00B94FE9"/>
    <w:rsid w:val="00B95900"/>
    <w:rsid w:val="00B97A45"/>
    <w:rsid w:val="00B97B61"/>
    <w:rsid w:val="00BA318A"/>
    <w:rsid w:val="00BA4291"/>
    <w:rsid w:val="00BB7AEE"/>
    <w:rsid w:val="00BD3358"/>
    <w:rsid w:val="00BD3D20"/>
    <w:rsid w:val="00BE16B3"/>
    <w:rsid w:val="00BE3719"/>
    <w:rsid w:val="00BE3E03"/>
    <w:rsid w:val="00BE48D8"/>
    <w:rsid w:val="00BE6A42"/>
    <w:rsid w:val="00BE6B85"/>
    <w:rsid w:val="00BF087C"/>
    <w:rsid w:val="00BF0A6C"/>
    <w:rsid w:val="00C0025E"/>
    <w:rsid w:val="00C10B16"/>
    <w:rsid w:val="00C22181"/>
    <w:rsid w:val="00C22E7B"/>
    <w:rsid w:val="00C23619"/>
    <w:rsid w:val="00C23D60"/>
    <w:rsid w:val="00C31AB1"/>
    <w:rsid w:val="00C377A2"/>
    <w:rsid w:val="00C62BEE"/>
    <w:rsid w:val="00C62F6F"/>
    <w:rsid w:val="00C636AD"/>
    <w:rsid w:val="00C63E9F"/>
    <w:rsid w:val="00C67177"/>
    <w:rsid w:val="00C67A24"/>
    <w:rsid w:val="00C7089B"/>
    <w:rsid w:val="00C70EC8"/>
    <w:rsid w:val="00C72CF8"/>
    <w:rsid w:val="00C7787D"/>
    <w:rsid w:val="00C80F70"/>
    <w:rsid w:val="00C82ADA"/>
    <w:rsid w:val="00C9162D"/>
    <w:rsid w:val="00CA2035"/>
    <w:rsid w:val="00CA3D3A"/>
    <w:rsid w:val="00CA515E"/>
    <w:rsid w:val="00CB38E8"/>
    <w:rsid w:val="00CB6893"/>
    <w:rsid w:val="00CC24BF"/>
    <w:rsid w:val="00CC4336"/>
    <w:rsid w:val="00CE65FF"/>
    <w:rsid w:val="00CE72DF"/>
    <w:rsid w:val="00CF2402"/>
    <w:rsid w:val="00CF4836"/>
    <w:rsid w:val="00D03A57"/>
    <w:rsid w:val="00D05B26"/>
    <w:rsid w:val="00D06A2C"/>
    <w:rsid w:val="00D06CA8"/>
    <w:rsid w:val="00D14065"/>
    <w:rsid w:val="00D2210A"/>
    <w:rsid w:val="00D51595"/>
    <w:rsid w:val="00D6056C"/>
    <w:rsid w:val="00D64A96"/>
    <w:rsid w:val="00D64AC5"/>
    <w:rsid w:val="00D75C84"/>
    <w:rsid w:val="00D824E5"/>
    <w:rsid w:val="00D842CA"/>
    <w:rsid w:val="00D8753A"/>
    <w:rsid w:val="00D92D02"/>
    <w:rsid w:val="00D95960"/>
    <w:rsid w:val="00D96B8F"/>
    <w:rsid w:val="00DA1A1C"/>
    <w:rsid w:val="00DA6C47"/>
    <w:rsid w:val="00DA73D0"/>
    <w:rsid w:val="00DB363E"/>
    <w:rsid w:val="00DB3E61"/>
    <w:rsid w:val="00DB4DEE"/>
    <w:rsid w:val="00DC153C"/>
    <w:rsid w:val="00DF1CA4"/>
    <w:rsid w:val="00E001D3"/>
    <w:rsid w:val="00E05F86"/>
    <w:rsid w:val="00E1137F"/>
    <w:rsid w:val="00E12F9F"/>
    <w:rsid w:val="00E2350F"/>
    <w:rsid w:val="00E273EA"/>
    <w:rsid w:val="00E3096A"/>
    <w:rsid w:val="00E425C3"/>
    <w:rsid w:val="00E44A2F"/>
    <w:rsid w:val="00E50413"/>
    <w:rsid w:val="00E55894"/>
    <w:rsid w:val="00E602DF"/>
    <w:rsid w:val="00E616DA"/>
    <w:rsid w:val="00E61FA6"/>
    <w:rsid w:val="00E66AA4"/>
    <w:rsid w:val="00E6760E"/>
    <w:rsid w:val="00E73884"/>
    <w:rsid w:val="00E85BE3"/>
    <w:rsid w:val="00E87576"/>
    <w:rsid w:val="00E87CCD"/>
    <w:rsid w:val="00E90EF7"/>
    <w:rsid w:val="00E9798E"/>
    <w:rsid w:val="00EA636D"/>
    <w:rsid w:val="00EB1ECE"/>
    <w:rsid w:val="00EB225B"/>
    <w:rsid w:val="00EB6D7B"/>
    <w:rsid w:val="00EC75FC"/>
    <w:rsid w:val="00ED0433"/>
    <w:rsid w:val="00ED180B"/>
    <w:rsid w:val="00ED2578"/>
    <w:rsid w:val="00ED2FCF"/>
    <w:rsid w:val="00ED3E85"/>
    <w:rsid w:val="00EE1F4F"/>
    <w:rsid w:val="00EE4073"/>
    <w:rsid w:val="00EF138B"/>
    <w:rsid w:val="00EF152F"/>
    <w:rsid w:val="00EF1E73"/>
    <w:rsid w:val="00F03D55"/>
    <w:rsid w:val="00F04E86"/>
    <w:rsid w:val="00F04E95"/>
    <w:rsid w:val="00F060CC"/>
    <w:rsid w:val="00F1291F"/>
    <w:rsid w:val="00F152B3"/>
    <w:rsid w:val="00F225C5"/>
    <w:rsid w:val="00F32228"/>
    <w:rsid w:val="00F33362"/>
    <w:rsid w:val="00F354B5"/>
    <w:rsid w:val="00F4187A"/>
    <w:rsid w:val="00F44AD3"/>
    <w:rsid w:val="00F45DCB"/>
    <w:rsid w:val="00F50102"/>
    <w:rsid w:val="00F5144C"/>
    <w:rsid w:val="00F5190F"/>
    <w:rsid w:val="00F52522"/>
    <w:rsid w:val="00F5277F"/>
    <w:rsid w:val="00F537B9"/>
    <w:rsid w:val="00F563CD"/>
    <w:rsid w:val="00F67079"/>
    <w:rsid w:val="00F74D77"/>
    <w:rsid w:val="00F8772C"/>
    <w:rsid w:val="00F9373E"/>
    <w:rsid w:val="00F93FD7"/>
    <w:rsid w:val="00FA416E"/>
    <w:rsid w:val="00FA447C"/>
    <w:rsid w:val="00FB1F26"/>
    <w:rsid w:val="00FB2443"/>
    <w:rsid w:val="00FB3AAC"/>
    <w:rsid w:val="00FB43FB"/>
    <w:rsid w:val="00FB7207"/>
    <w:rsid w:val="00FC0A72"/>
    <w:rsid w:val="00FC4B51"/>
    <w:rsid w:val="00FD4A56"/>
    <w:rsid w:val="00FE0B3F"/>
    <w:rsid w:val="00FE27D6"/>
    <w:rsid w:val="00FE3613"/>
    <w:rsid w:val="00FE4747"/>
    <w:rsid w:val="00FF3952"/>
    <w:rsid w:val="00FF511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  <w15:docId w15:val="{A7C05B16-9842-4407-8B5B-AF7486F2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F64EB"/>
    <w:pPr>
      <w:keepNext/>
      <w:keepLines/>
      <w:numPr>
        <w:numId w:val="2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F64EB"/>
    <w:pPr>
      <w:keepNext/>
      <w:keepLines/>
      <w:numPr>
        <w:numId w:val="2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F6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2F64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2E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E4963"/>
  </w:style>
  <w:style w:type="paragraph" w:styleId="Pta">
    <w:name w:val="footer"/>
    <w:basedOn w:val="Normlny"/>
    <w:link w:val="PtaChar"/>
    <w:uiPriority w:val="99"/>
    <w:unhideWhenUsed/>
    <w:rsid w:val="002E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4963"/>
  </w:style>
  <w:style w:type="table" w:customStyle="1" w:styleId="TableGrid1">
    <w:name w:val="Table Grid1"/>
    <w:basedOn w:val="Normlnatabuka"/>
    <w:next w:val="Mriekatabuky"/>
    <w:uiPriority w:val="39"/>
    <w:rsid w:val="002E49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E49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E49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E49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E49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E49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D0C7-13B1-466F-9D33-C21C5A40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3491</Words>
  <Characters>19899</Characters>
  <DocSecurity>0</DocSecurity>
  <Lines>165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2015-11-11T06:17:00Z</dcterms:created>
  <dcterms:modified xsi:type="dcterms:W3CDTF">2016-02-01T16:24:00Z</dcterms:modified>
</cp:coreProperties>
</file>